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SECURITIES AND EXCHANGE COMMISSION</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10-Q</w:t>
      </w:r>
    </w:p>
    <w:p>
      <w:pPr>
        <w:spacing w:after="0" w:line="79" w:lineRule="exact"/>
        <w:rPr>
          <w:sz w:val="24"/>
          <w:szCs w:val="24"/>
          <w:color w:val="auto"/>
        </w:rPr>
      </w:pPr>
    </w:p>
    <w:p>
      <w:pPr>
        <w:ind w:left="1160" w:hanging="155"/>
        <w:spacing w:after="0"/>
        <w:tabs>
          <w:tab w:leader="none" w:pos="1160" w:val="left"/>
        </w:tabs>
        <w:numPr>
          <w:ilvl w:val="0"/>
          <w:numId w:val="1"/>
        </w:numPr>
        <w:rPr>
          <w:rFonts w:ascii="MS PGothic" w:cs="MS PGothic" w:eastAsia="MS PGothic" w:hAnsi="MS PGothic"/>
          <w:sz w:val="23"/>
          <w:szCs w:val="23"/>
          <w:color w:val="auto"/>
          <w:vertAlign w:val="superscript"/>
        </w:rPr>
      </w:pPr>
      <w:r>
        <w:rPr>
          <w:rFonts w:ascii="Arial" w:cs="Arial" w:eastAsia="Arial" w:hAnsi="Arial"/>
          <w:sz w:val="13"/>
          <w:szCs w:val="13"/>
          <w:color w:val="auto"/>
        </w:rPr>
        <w:t>QUARTERLY REPORT 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September 30, 2021</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5" w:lineRule="exact"/>
        <w:rPr>
          <w:sz w:val="24"/>
          <w:szCs w:val="24"/>
          <w:color w:val="auto"/>
        </w:rPr>
      </w:pPr>
    </w:p>
    <w:p>
      <w:pPr>
        <w:jc w:val="center"/>
        <w:ind w:left="3100" w:right="999" w:hanging="2095"/>
        <w:spacing w:after="0" w:line="389" w:lineRule="auto"/>
        <w:tabs>
          <w:tab w:leader="none" w:pos="1147"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 to ______</w:t>
      </w:r>
    </w:p>
    <w:p>
      <w:pPr>
        <w:ind w:left="3460"/>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001-39028</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CROSSFIRST BANKSHARES, INC.</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06" w:lineRule="exact"/>
        <w:rPr>
          <w:sz w:val="24"/>
          <w:szCs w:val="24"/>
          <w:color w:val="auto"/>
        </w:rPr>
      </w:pPr>
    </w:p>
    <w:tbl>
      <w:tblPr>
        <w:tblLayout w:type="fixed"/>
        <w:tblInd w:w="880" w:type="dxa"/>
        <w:tblCellMar>
          <w:top w:w="0" w:type="dxa"/>
          <w:left w:w="0" w:type="dxa"/>
          <w:bottom w:w="0" w:type="dxa"/>
          <w:right w:w="0" w:type="dxa"/>
        </w:tblCellMar>
      </w:tblPr>
      <w:tr>
        <w:trPr>
          <w:trHeight w:val="164"/>
        </w:trPr>
        <w:tc>
          <w:tcPr>
            <w:tcW w:w="3900" w:type="dxa"/>
            <w:vAlign w:val="bottom"/>
          </w:tcPr>
          <w:p>
            <w:pPr>
              <w:jc w:val="center"/>
              <w:ind w:right="752"/>
              <w:spacing w:after="0"/>
              <w:rPr>
                <w:sz w:val="20"/>
                <w:szCs w:val="20"/>
                <w:color w:val="auto"/>
              </w:rPr>
            </w:pPr>
            <w:r>
              <w:rPr>
                <w:rFonts w:ascii="Arial" w:cs="Arial" w:eastAsia="Arial" w:hAnsi="Arial"/>
                <w:sz w:val="14"/>
                <w:szCs w:val="14"/>
                <w:color w:val="auto"/>
                <w:w w:val="85"/>
              </w:rPr>
              <w:t>Kansas</w:t>
            </w:r>
          </w:p>
        </w:tc>
        <w:tc>
          <w:tcPr>
            <w:tcW w:w="2700" w:type="dxa"/>
            <w:vAlign w:val="bottom"/>
          </w:tcPr>
          <w:p>
            <w:pPr>
              <w:jc w:val="right"/>
              <w:ind w:right="532"/>
              <w:spacing w:after="0"/>
              <w:rPr>
                <w:sz w:val="20"/>
                <w:szCs w:val="20"/>
                <w:color w:val="auto"/>
              </w:rPr>
            </w:pPr>
            <w:r>
              <w:rPr>
                <w:rFonts w:ascii="Arial" w:cs="Arial" w:eastAsia="Arial" w:hAnsi="Arial"/>
                <w:sz w:val="14"/>
                <w:szCs w:val="14"/>
                <w:color w:val="auto"/>
              </w:rPr>
              <w:t>26-3212879</w:t>
            </w:r>
          </w:p>
        </w:tc>
      </w:tr>
      <w:tr>
        <w:trPr>
          <w:trHeight w:val="162"/>
        </w:trPr>
        <w:tc>
          <w:tcPr>
            <w:tcW w:w="3900" w:type="dxa"/>
            <w:vAlign w:val="bottom"/>
          </w:tcPr>
          <w:p>
            <w:pPr>
              <w:jc w:val="center"/>
              <w:ind w:right="772"/>
              <w:spacing w:after="0"/>
              <w:rPr>
                <w:sz w:val="20"/>
                <w:szCs w:val="20"/>
                <w:color w:val="auto"/>
              </w:rPr>
            </w:pPr>
            <w:r>
              <w:rPr>
                <w:rFonts w:ascii="Arial" w:cs="Arial" w:eastAsia="Arial" w:hAnsi="Arial"/>
                <w:sz w:val="13"/>
                <w:szCs w:val="13"/>
                <w:color w:val="auto"/>
                <w:w w:val="91"/>
              </w:rPr>
              <w:t>(State or other jurisdiction of incorporation or organization)</w:t>
            </w:r>
          </w:p>
        </w:tc>
        <w:tc>
          <w:tcPr>
            <w:tcW w:w="2700" w:type="dxa"/>
            <w:vAlign w:val="bottom"/>
          </w:tcPr>
          <w:p>
            <w:pPr>
              <w:jc w:val="center"/>
              <w:ind w:left="772"/>
              <w:spacing w:after="0"/>
              <w:rPr>
                <w:sz w:val="20"/>
                <w:szCs w:val="20"/>
                <w:color w:val="auto"/>
              </w:rPr>
            </w:pPr>
            <w:r>
              <w:rPr>
                <w:rFonts w:ascii="Arial" w:cs="Arial" w:eastAsia="Arial" w:hAnsi="Arial"/>
                <w:sz w:val="13"/>
                <w:szCs w:val="13"/>
                <w:color w:val="auto"/>
                <w:w w:val="92"/>
              </w:rPr>
              <w:t>(I.R.S. Employer Identification No.)</w:t>
            </w:r>
          </w:p>
        </w:tc>
      </w:tr>
      <w:tr>
        <w:trPr>
          <w:trHeight w:val="292"/>
        </w:trPr>
        <w:tc>
          <w:tcPr>
            <w:tcW w:w="3900" w:type="dxa"/>
            <w:vAlign w:val="bottom"/>
          </w:tcPr>
          <w:p>
            <w:pPr>
              <w:jc w:val="center"/>
              <w:ind w:right="752"/>
              <w:spacing w:after="0"/>
              <w:rPr>
                <w:sz w:val="20"/>
                <w:szCs w:val="20"/>
                <w:color w:val="auto"/>
              </w:rPr>
            </w:pPr>
            <w:r>
              <w:rPr>
                <w:rFonts w:ascii="Arial" w:cs="Arial" w:eastAsia="Arial" w:hAnsi="Arial"/>
                <w:sz w:val="14"/>
                <w:szCs w:val="14"/>
                <w:color w:val="auto"/>
                <w:w w:val="91"/>
              </w:rPr>
              <w:t>11440 Tomahawk Creek Parkway</w:t>
            </w:r>
          </w:p>
        </w:tc>
        <w:tc>
          <w:tcPr>
            <w:tcW w:w="2700" w:type="dxa"/>
            <w:vAlign w:val="bottom"/>
          </w:tcPr>
          <w:p>
            <w:pPr>
              <w:spacing w:after="0"/>
              <w:rPr>
                <w:sz w:val="24"/>
                <w:szCs w:val="24"/>
                <w:color w:val="auto"/>
              </w:rPr>
            </w:pPr>
          </w:p>
        </w:tc>
      </w:tr>
      <w:tr>
        <w:trPr>
          <w:trHeight w:val="164"/>
        </w:trPr>
        <w:tc>
          <w:tcPr>
            <w:tcW w:w="3900" w:type="dxa"/>
            <w:vAlign w:val="bottom"/>
          </w:tcPr>
          <w:p>
            <w:pPr>
              <w:ind w:left="900"/>
              <w:spacing w:after="0"/>
              <w:rPr>
                <w:sz w:val="20"/>
                <w:szCs w:val="20"/>
                <w:color w:val="auto"/>
              </w:rPr>
            </w:pPr>
            <w:r>
              <w:rPr>
                <w:rFonts w:ascii="Arial" w:cs="Arial" w:eastAsia="Arial" w:hAnsi="Arial"/>
                <w:sz w:val="14"/>
                <w:szCs w:val="14"/>
                <w:color w:val="auto"/>
              </w:rPr>
              <w:t>Leawood,  KS</w:t>
            </w:r>
          </w:p>
        </w:tc>
        <w:tc>
          <w:tcPr>
            <w:tcW w:w="2700" w:type="dxa"/>
            <w:vAlign w:val="bottom"/>
          </w:tcPr>
          <w:p>
            <w:pPr>
              <w:jc w:val="right"/>
              <w:ind w:right="692"/>
              <w:spacing w:after="0"/>
              <w:rPr>
                <w:sz w:val="20"/>
                <w:szCs w:val="20"/>
                <w:color w:val="auto"/>
              </w:rPr>
            </w:pPr>
            <w:r>
              <w:rPr>
                <w:rFonts w:ascii="Arial" w:cs="Arial" w:eastAsia="Arial" w:hAnsi="Arial"/>
                <w:sz w:val="14"/>
                <w:szCs w:val="14"/>
                <w:color w:val="auto"/>
              </w:rPr>
              <w:t>66211</w:t>
            </w:r>
          </w:p>
        </w:tc>
      </w:tr>
      <w:tr>
        <w:trPr>
          <w:trHeight w:val="162"/>
        </w:trPr>
        <w:tc>
          <w:tcPr>
            <w:tcW w:w="3900" w:type="dxa"/>
            <w:vAlign w:val="bottom"/>
          </w:tcPr>
          <w:p>
            <w:pPr>
              <w:jc w:val="center"/>
              <w:ind w:right="752"/>
              <w:spacing w:after="0"/>
              <w:rPr>
                <w:sz w:val="20"/>
                <w:szCs w:val="20"/>
                <w:color w:val="auto"/>
              </w:rPr>
            </w:pPr>
            <w:r>
              <w:rPr>
                <w:rFonts w:ascii="Arial" w:cs="Arial" w:eastAsia="Arial" w:hAnsi="Arial"/>
                <w:sz w:val="13"/>
                <w:szCs w:val="13"/>
                <w:color w:val="auto"/>
                <w:w w:val="91"/>
              </w:rPr>
              <w:t>(Address of principal executive offices)</w:t>
            </w:r>
          </w:p>
        </w:tc>
        <w:tc>
          <w:tcPr>
            <w:tcW w:w="2700" w:type="dxa"/>
            <w:vAlign w:val="bottom"/>
          </w:tcPr>
          <w:p>
            <w:pPr>
              <w:jc w:val="center"/>
              <w:ind w:left="752"/>
              <w:spacing w:after="0"/>
              <w:rPr>
                <w:sz w:val="20"/>
                <w:szCs w:val="20"/>
                <w:color w:val="auto"/>
              </w:rPr>
            </w:pPr>
            <w:r>
              <w:rPr>
                <w:rFonts w:ascii="Arial" w:cs="Arial" w:eastAsia="Arial" w:hAnsi="Arial"/>
                <w:sz w:val="13"/>
                <w:szCs w:val="13"/>
                <w:color w:val="auto"/>
                <w:w w:val="91"/>
              </w:rPr>
              <w:t>(Zip Code)</w:t>
            </w:r>
          </w:p>
        </w:tc>
      </w:tr>
    </w:tbl>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(913) 312-6822</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0" w:lineRule="exact"/>
        <w:rPr>
          <w:sz w:val="24"/>
          <w:szCs w:val="24"/>
          <w:color w:val="auto"/>
        </w:rPr>
      </w:pPr>
    </w:p>
    <w:tbl>
      <w:tblPr>
        <w:tblLayout w:type="fixed"/>
        <w:tblInd w:w="540" w:type="dxa"/>
        <w:tblCellMar>
          <w:top w:w="0" w:type="dxa"/>
          <w:left w:w="0" w:type="dxa"/>
          <w:bottom w:w="0" w:type="dxa"/>
          <w:right w:w="0" w:type="dxa"/>
        </w:tblCellMar>
      </w:tblP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6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40" w:type="dxa"/>
            <w:vAlign w:val="bottom"/>
          </w:tcPr>
          <w:p>
            <w:pPr>
              <w:spacing w:after="0"/>
              <w:rPr>
                <w:sz w:val="15"/>
                <w:szCs w:val="15"/>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2"/>
        </w:trPr>
        <w:tc>
          <w:tcPr>
            <w:tcW w:w="2980" w:type="dxa"/>
            <w:vAlign w:val="bottom"/>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CFB</w:t>
            </w:r>
          </w:p>
        </w:tc>
        <w:tc>
          <w:tcPr>
            <w:tcW w:w="14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color w:val="auto"/>
                <w:w w:val="92"/>
              </w:rPr>
              <w:t>The Nasdaq Stock Market LLC</w:t>
            </w:r>
          </w:p>
        </w:tc>
      </w:tr>
    </w:tbl>
    <w:p>
      <w:pPr>
        <w:spacing w:after="0" w:line="149" w:lineRule="exact"/>
        <w:rPr>
          <w:sz w:val="24"/>
          <w:szCs w:val="24"/>
          <w:color w:val="auto"/>
        </w:rPr>
      </w:pPr>
    </w:p>
    <w:p>
      <w:pPr>
        <w:ind w:left="540" w:right="619"/>
        <w:spacing w:after="0" w:line="29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540" w:right="4599" w:hanging="5"/>
        <w:spacing w:after="0" w:line="176" w:lineRule="exact"/>
        <w:tabs>
          <w:tab w:leader="none" w:pos="742"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left="540" w:right="579"/>
        <w:spacing w:after="0" w:line="28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w:t>
      </w:r>
    </w:p>
    <w:p>
      <w:pPr>
        <w:ind w:left="540"/>
        <w:spacing w:after="0" w:line="161" w:lineRule="exact"/>
        <w:tabs>
          <w:tab w:leader="none" w:pos="2620" w:val="left"/>
          <w:tab w:leader="none" w:pos="3160" w:val="left"/>
        </w:tabs>
        <w:rPr>
          <w:sz w:val="20"/>
          <w:szCs w:val="20"/>
          <w:color w:val="auto"/>
        </w:rPr>
      </w:pPr>
      <w:r>
        <w:rPr>
          <w:rFonts w:ascii="Arial" w:cs="Arial" w:eastAsia="Arial" w:hAnsi="Arial"/>
          <w:sz w:val="14"/>
          <w:szCs w:val="14"/>
          <w:color w:val="auto"/>
        </w:rPr>
        <w:t>was required to submit such 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0" w:lineRule="exact"/>
        <w:rPr>
          <w:sz w:val="24"/>
          <w:szCs w:val="24"/>
          <w:color w:val="auto"/>
        </w:rPr>
      </w:pPr>
    </w:p>
    <w:p>
      <w:pPr>
        <w:ind w:left="540" w:right="739"/>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198"/>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88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2"/>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15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88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4"/>
        </w:trPr>
        <w:tc>
          <w:tcPr>
            <w:tcW w:w="20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5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56" w:lineRule="exact"/>
        <w:rPr>
          <w:sz w:val="24"/>
          <w:szCs w:val="24"/>
          <w:color w:val="auto"/>
        </w:rPr>
      </w:pPr>
    </w:p>
    <w:p>
      <w:pPr>
        <w:ind w:left="540" w:right="1159"/>
        <w:spacing w:after="0" w:line="18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59" w:lineRule="exact"/>
        <w:rPr>
          <w:sz w:val="24"/>
          <w:szCs w:val="24"/>
          <w:color w:val="auto"/>
        </w:rPr>
      </w:pPr>
    </w:p>
    <w:p>
      <w:pPr>
        <w:ind w:left="540" w:right="979"/>
        <w:spacing w:after="0" w:line="24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1, 2021, the registrant had 50,918,788 shares of common stock, par value $0.01, outstanding.</w:t>
      </w:r>
    </w:p>
    <w:p>
      <w:pPr>
        <w:sectPr>
          <w:pgSz w:w="11900" w:h="16838" w:orient="portrait"/>
          <w:cols w:equalWidth="0" w:num="1">
            <w:col w:w="9019"/>
          </w:cols>
          <w:pgMar w:left="1440" w:top="949" w:right="1440" w:bottom="1440" w:gutter="0" w:footer="0" w:header="0"/>
        </w:sectPr>
      </w:pPr>
    </w:p>
    <w:bookmarkStart w:id="1" w:name="page2"/>
    <w:bookmarkEnd w:id="1"/>
    <w:p>
      <w:pPr>
        <w:jc w:val="center"/>
        <w:ind w:right="-5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CrossFirst Bankshares, Inc.</w:t>
      </w:r>
    </w:p>
    <w:p>
      <w:pPr>
        <w:spacing w:after="0" w:line="11"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Form 10-Q for the Quarter Ended September 30, 2021</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Index</w:t>
      </w:r>
    </w:p>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6360" w:type="dxa"/>
            <w:vAlign w:val="bottom"/>
            <w:gridSpan w:val="39"/>
          </w:tcPr>
          <w:p>
            <w:pPr>
              <w:spacing w:after="0"/>
              <w:rPr>
                <w:sz w:val="20"/>
                <w:szCs w:val="20"/>
                <w:color w:val="auto"/>
              </w:rPr>
            </w:pPr>
            <w:r>
              <w:rPr>
                <w:rFonts w:ascii="Arial" w:cs="Arial" w:eastAsia="Arial" w:hAnsi="Arial"/>
                <w:sz w:val="14"/>
                <w:szCs w:val="14"/>
                <w:color w:val="auto"/>
              </w:rPr>
              <w:t>Part I. Financial Information</w:t>
            </w:r>
          </w:p>
        </w:tc>
        <w:tc>
          <w:tcPr>
            <w:tcW w:w="90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6280" w:type="dxa"/>
            <w:vAlign w:val="bottom"/>
            <w:gridSpan w:val="38"/>
          </w:tcPr>
          <w:p>
            <w:pPr>
              <w:spacing w:after="0"/>
              <w:rPr>
                <w:sz w:val="20"/>
                <w:szCs w:val="20"/>
                <w:color w:val="auto"/>
              </w:rPr>
            </w:pPr>
            <w:r>
              <w:rPr>
                <w:rFonts w:ascii="Arial" w:cs="Arial" w:eastAsia="Arial" w:hAnsi="Arial"/>
                <w:sz w:val="14"/>
                <w:szCs w:val="14"/>
                <w:color w:val="auto"/>
              </w:rPr>
              <w:t>Item 1. Financial Statements</w:t>
            </w:r>
          </w:p>
        </w:tc>
        <w:tc>
          <w:tcPr>
            <w:tcW w:w="90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80" w:type="dxa"/>
            <w:vAlign w:val="bottom"/>
            <w:gridSpan w:val="37"/>
          </w:tcPr>
          <w:p>
            <w:pPr>
              <w:spacing w:after="0"/>
              <w:rPr>
                <w:sz w:val="20"/>
                <w:szCs w:val="20"/>
                <w:color w:val="auto"/>
              </w:rPr>
            </w:pPr>
            <w:r>
              <w:rPr>
                <w:rFonts w:ascii="Arial" w:cs="Arial" w:eastAsia="Arial" w:hAnsi="Arial"/>
                <w:sz w:val="14"/>
                <w:szCs w:val="14"/>
                <w:color w:val="auto"/>
              </w:rPr>
              <w:t>Forward-Looking Information</w:t>
            </w:r>
          </w:p>
        </w:tc>
        <w:tc>
          <w:tcPr>
            <w:tcW w:w="900" w:type="dxa"/>
            <w:vAlign w:val="bottom"/>
          </w:tcPr>
          <w:p>
            <w:pPr>
              <w:spacing w:after="0"/>
              <w:rPr>
                <w:sz w:val="15"/>
                <w:szCs w:val="15"/>
                <w:color w:val="auto"/>
              </w:rPr>
            </w:pPr>
          </w:p>
        </w:tc>
      </w:tr>
      <w:tr>
        <w:trPr>
          <w:trHeight w:val="150"/>
        </w:trPr>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180" w:type="dxa"/>
            <w:vAlign w:val="bottom"/>
            <w:gridSpan w:val="37"/>
          </w:tcPr>
          <w:p>
            <w:pPr>
              <w:spacing w:after="0" w:line="150" w:lineRule="exact"/>
              <w:rPr>
                <w:rFonts w:ascii="Arial" w:cs="Arial" w:eastAsia="Arial" w:hAnsi="Arial"/>
                <w:sz w:val="14"/>
                <w:szCs w:val="14"/>
                <w:color w:val="0000FF"/>
              </w:rPr>
            </w:pPr>
            <w:hyperlink w:anchor="page4">
              <w:r>
                <w:rPr>
                  <w:rFonts w:ascii="Arial" w:cs="Arial" w:eastAsia="Arial" w:hAnsi="Arial"/>
                  <w:sz w:val="14"/>
                  <w:szCs w:val="14"/>
                  <w:color w:val="0000FF"/>
                </w:rPr>
                <w:t>Consolidated Balance Sheets - Unaudited</w:t>
              </w:r>
            </w:hyperlink>
          </w:p>
        </w:tc>
        <w:tc>
          <w:tcPr>
            <w:tcW w:w="900" w:type="dxa"/>
            <w:vAlign w:val="bottom"/>
          </w:tcPr>
          <w:p>
            <w:pPr>
              <w:ind w:left="740"/>
              <w:spacing w:after="0" w:line="150" w:lineRule="exact"/>
              <w:rPr>
                <w:sz w:val="20"/>
                <w:szCs w:val="20"/>
                <w:color w:val="auto"/>
              </w:rPr>
            </w:pPr>
            <w:r>
              <w:rPr>
                <w:rFonts w:ascii="Arial" w:cs="Arial" w:eastAsia="Arial" w:hAnsi="Arial"/>
                <w:sz w:val="14"/>
                <w:szCs w:val="14"/>
                <w:color w:val="auto"/>
              </w:rPr>
              <w:t>4</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51"/>
        </w:trPr>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Borders>
              <w:bottom w:val="single" w:sz="8" w:color="0000FF"/>
            </w:tcBorders>
            <w:gridSpan w:val="24"/>
          </w:tcPr>
          <w:p>
            <w:pPr>
              <w:spacing w:after="0" w:line="151" w:lineRule="exact"/>
              <w:rPr>
                <w:rFonts w:ascii="Arial" w:cs="Arial" w:eastAsia="Arial" w:hAnsi="Arial"/>
                <w:sz w:val="14"/>
                <w:szCs w:val="14"/>
                <w:color w:val="0000FF"/>
                <w:w w:val="91"/>
              </w:rPr>
            </w:pPr>
            <w:hyperlink w:anchor="page5">
              <w:r>
                <w:rPr>
                  <w:rFonts w:ascii="Arial" w:cs="Arial" w:eastAsia="Arial" w:hAnsi="Arial"/>
                  <w:sz w:val="14"/>
                  <w:szCs w:val="14"/>
                  <w:color w:val="0000FF"/>
                  <w:w w:val="91"/>
                </w:rPr>
                <w:t>Consolidated Statements of Income - Unaudited</w:t>
              </w:r>
            </w:hyperlink>
          </w:p>
        </w:tc>
        <w:tc>
          <w:tcPr>
            <w:tcW w:w="3440" w:type="dxa"/>
            <w:vAlign w:val="bottom"/>
            <w:gridSpan w:val="13"/>
          </w:tcPr>
          <w:p>
            <w:pPr>
              <w:spacing w:after="0"/>
              <w:rPr>
                <w:sz w:val="13"/>
                <w:szCs w:val="13"/>
                <w:color w:val="auto"/>
              </w:rPr>
            </w:pPr>
          </w:p>
        </w:tc>
        <w:tc>
          <w:tcPr>
            <w:tcW w:w="900" w:type="dxa"/>
            <w:vAlign w:val="bottom"/>
          </w:tcPr>
          <w:p>
            <w:pPr>
              <w:ind w:left="740"/>
              <w:spacing w:after="0" w:line="151" w:lineRule="exact"/>
              <w:rPr>
                <w:sz w:val="20"/>
                <w:szCs w:val="20"/>
                <w:color w:val="auto"/>
              </w:rPr>
            </w:pPr>
            <w:r>
              <w:rPr>
                <w:rFonts w:ascii="Arial" w:cs="Arial" w:eastAsia="Arial" w:hAnsi="Arial"/>
                <w:sz w:val="14"/>
                <w:szCs w:val="14"/>
                <w:color w:val="auto"/>
              </w:rPr>
              <w:t>5</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80" w:type="dxa"/>
            <w:vAlign w:val="bottom"/>
            <w:gridSpan w:val="37"/>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Statements of Comprehensive Income - Unaudited</w:t>
              </w:r>
            </w:hyperlink>
          </w:p>
        </w:tc>
        <w:tc>
          <w:tcPr>
            <w:tcW w:w="900" w:type="dxa"/>
            <w:vAlign w:val="bottom"/>
          </w:tcPr>
          <w:p>
            <w:pPr>
              <w:ind w:left="740"/>
              <w:spacing w:after="0"/>
              <w:rPr>
                <w:sz w:val="20"/>
                <w:szCs w:val="20"/>
                <w:color w:val="auto"/>
              </w:rPr>
            </w:pPr>
            <w:r>
              <w:rPr>
                <w:rFonts w:ascii="Arial" w:cs="Arial" w:eastAsia="Arial" w:hAnsi="Arial"/>
                <w:sz w:val="14"/>
                <w:szCs w:val="14"/>
                <w:color w:val="auto"/>
              </w:rPr>
              <w:t>6</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tcBorders>
              <w:top w:val="single" w:sz="8" w:color="0000FF"/>
            </w:tcBorders>
            <w:gridSpan w:val="31"/>
          </w:tcPr>
          <w:p>
            <w:pPr>
              <w:spacing w:after="0"/>
              <w:rPr>
                <w:rFonts w:ascii="Arial" w:cs="Arial" w:eastAsia="Arial" w:hAnsi="Arial"/>
                <w:sz w:val="14"/>
                <w:szCs w:val="14"/>
                <w:color w:val="0000FF"/>
                <w:w w:val="96"/>
              </w:rPr>
            </w:pPr>
            <w:hyperlink w:anchor="page7">
              <w:r>
                <w:rPr>
                  <w:rFonts w:ascii="Arial" w:cs="Arial" w:eastAsia="Arial" w:hAnsi="Arial"/>
                  <w:sz w:val="14"/>
                  <w:szCs w:val="14"/>
                  <w:color w:val="0000FF"/>
                  <w:w w:val="96"/>
                </w:rPr>
                <w:t>Consolidated Statements of Stockholders’ Equity - Unaudited</w:t>
              </w:r>
            </w:hyperlink>
          </w:p>
        </w:tc>
        <w:tc>
          <w:tcPr>
            <w:tcW w:w="2520" w:type="dxa"/>
            <w:vAlign w:val="bottom"/>
            <w:gridSpan w:val="6"/>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rPr>
              <w:t>7</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Borders>
              <w:top w:val="single" w:sz="8" w:color="0000FF"/>
              <w:bottom w:val="single" w:sz="8" w:color="0000FF"/>
            </w:tcBorders>
            <w:gridSpan w:val="25"/>
          </w:tcPr>
          <w:p>
            <w:pPr>
              <w:spacing w:after="0"/>
              <w:rPr>
                <w:rFonts w:ascii="Arial" w:cs="Arial" w:eastAsia="Arial" w:hAnsi="Arial"/>
                <w:sz w:val="14"/>
                <w:szCs w:val="14"/>
                <w:color w:val="0000FF"/>
                <w:w w:val="90"/>
              </w:rPr>
            </w:pPr>
            <w:hyperlink w:anchor="page9">
              <w:r>
                <w:rPr>
                  <w:rFonts w:ascii="Arial" w:cs="Arial" w:eastAsia="Arial" w:hAnsi="Arial"/>
                  <w:sz w:val="14"/>
                  <w:szCs w:val="14"/>
                  <w:color w:val="0000FF"/>
                  <w:w w:val="90"/>
                </w:rPr>
                <w:t>Consolidated Statements of Cash Flows - Unaudited</w:t>
              </w:r>
            </w:hyperlink>
          </w:p>
        </w:tc>
        <w:tc>
          <w:tcPr>
            <w:tcW w:w="520" w:type="dxa"/>
            <w:vAlign w:val="bottom"/>
            <w:tcBorders>
              <w:top w:val="single" w:sz="8" w:color="0000FF"/>
            </w:tcBorders>
            <w:gridSpan w:val="5"/>
          </w:tcPr>
          <w:p>
            <w:pPr>
              <w:spacing w:after="0"/>
              <w:rPr>
                <w:sz w:val="14"/>
                <w:szCs w:val="14"/>
                <w:color w:val="auto"/>
              </w:rPr>
            </w:pPr>
          </w:p>
        </w:tc>
        <w:tc>
          <w:tcPr>
            <w:tcW w:w="2680" w:type="dxa"/>
            <w:vAlign w:val="bottom"/>
            <w:gridSpan w:val="7"/>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rPr>
              <w:t>9</w:t>
            </w:r>
          </w:p>
        </w:tc>
      </w:tr>
      <w:tr>
        <w:trPr>
          <w:trHeight w:val="193"/>
        </w:trPr>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80" w:type="dxa"/>
            <w:vAlign w:val="bottom"/>
            <w:gridSpan w:val="37"/>
          </w:tcPr>
          <w:p>
            <w:pPr>
              <w:spacing w:after="0"/>
              <w:rPr>
                <w:sz w:val="20"/>
                <w:szCs w:val="20"/>
                <w:color w:val="auto"/>
              </w:rPr>
            </w:pPr>
            <w:r>
              <w:rPr>
                <w:rFonts w:ascii="Arial" w:cs="Arial" w:eastAsia="Arial" w:hAnsi="Arial"/>
                <w:sz w:val="14"/>
                <w:szCs w:val="14"/>
                <w:color w:val="auto"/>
              </w:rPr>
              <w:t>Notes to Consolidated Financial Statements (unaudited)</w:t>
            </w:r>
          </w:p>
        </w:tc>
        <w:tc>
          <w:tcPr>
            <w:tcW w:w="900" w:type="dxa"/>
            <w:vAlign w:val="bottom"/>
          </w:tcPr>
          <w:p>
            <w:pPr>
              <w:spacing w:after="0"/>
              <w:rPr>
                <w:sz w:val="16"/>
                <w:szCs w:val="16"/>
                <w:color w:val="auto"/>
              </w:rPr>
            </w:pPr>
          </w:p>
        </w:tc>
      </w:tr>
      <w:tr>
        <w:trPr>
          <w:trHeight w:val="150"/>
        </w:trPr>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00" w:type="dxa"/>
            <w:vAlign w:val="bottom"/>
            <w:gridSpan w:val="36"/>
          </w:tcPr>
          <w:p>
            <w:pPr>
              <w:spacing w:after="0" w:line="150" w:lineRule="exact"/>
              <w:rPr>
                <w:rFonts w:ascii="Arial" w:cs="Arial" w:eastAsia="Arial" w:hAnsi="Arial"/>
                <w:sz w:val="14"/>
                <w:szCs w:val="14"/>
                <w:color w:val="0000FF"/>
              </w:rPr>
            </w:pPr>
            <w:hyperlink w:anchor="page10">
              <w:r>
                <w:rPr>
                  <w:rFonts w:ascii="Arial" w:cs="Arial" w:eastAsia="Arial" w:hAnsi="Arial"/>
                  <w:sz w:val="14"/>
                  <w:szCs w:val="14"/>
                  <w:color w:val="0000FF"/>
                </w:rPr>
                <w:t>Note 1: Nature of Operations and Summary of Significant Accounting Policies</w:t>
              </w:r>
            </w:hyperlink>
          </w:p>
        </w:tc>
        <w:tc>
          <w:tcPr>
            <w:tcW w:w="900" w:type="dxa"/>
            <w:vAlign w:val="bottom"/>
          </w:tcPr>
          <w:p>
            <w:pPr>
              <w:ind w:left="740"/>
              <w:spacing w:after="0" w:line="150" w:lineRule="exact"/>
              <w:rPr>
                <w:sz w:val="20"/>
                <w:szCs w:val="20"/>
                <w:color w:val="auto"/>
              </w:rPr>
            </w:pPr>
            <w:r>
              <w:rPr>
                <w:rFonts w:ascii="Arial" w:cs="Arial" w:eastAsia="Arial" w:hAnsi="Arial"/>
                <w:sz w:val="14"/>
                <w:szCs w:val="14"/>
                <w:color w:val="auto"/>
                <w:w w:val="89"/>
              </w:rPr>
              <w:t>10</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11"/>
          </w:tcPr>
          <w:p>
            <w:pPr>
              <w:spacing w:after="0"/>
              <w:rPr>
                <w:rFonts w:ascii="Arial" w:cs="Arial" w:eastAsia="Arial" w:hAnsi="Arial"/>
                <w:sz w:val="14"/>
                <w:szCs w:val="14"/>
                <w:color w:val="0000FF"/>
                <w:w w:val="89"/>
              </w:rPr>
            </w:pPr>
            <w:hyperlink w:anchor="page13">
              <w:r>
                <w:rPr>
                  <w:rFonts w:ascii="Arial" w:cs="Arial" w:eastAsia="Arial" w:hAnsi="Arial"/>
                  <w:sz w:val="14"/>
                  <w:szCs w:val="14"/>
                  <w:color w:val="0000FF"/>
                  <w:w w:val="89"/>
                </w:rPr>
                <w:t>Note 2: Earnings Per Share</w:t>
              </w:r>
            </w:hyperlink>
          </w:p>
        </w:tc>
        <w:tc>
          <w:tcPr>
            <w:tcW w:w="2920" w:type="dxa"/>
            <w:vAlign w:val="bottom"/>
            <w:tcBorders>
              <w:top w:val="single" w:sz="8" w:color="0000FF"/>
            </w:tcBorders>
            <w:gridSpan w:val="24"/>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13</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0000FF"/>
            </w:tcBorders>
            <w:gridSpan w:val="5"/>
          </w:tcPr>
          <w:p>
            <w:pPr>
              <w:spacing w:after="0"/>
              <w:rPr>
                <w:rFonts w:ascii="Arial" w:cs="Arial" w:eastAsia="Arial" w:hAnsi="Arial"/>
                <w:sz w:val="14"/>
                <w:szCs w:val="14"/>
                <w:color w:val="0000FF"/>
                <w:w w:val="90"/>
              </w:rPr>
            </w:pPr>
            <w:hyperlink w:anchor="page14">
              <w:r>
                <w:rPr>
                  <w:rFonts w:ascii="Arial" w:cs="Arial" w:eastAsia="Arial" w:hAnsi="Arial"/>
                  <w:sz w:val="14"/>
                  <w:szCs w:val="14"/>
                  <w:color w:val="0000FF"/>
                  <w:w w:val="90"/>
                </w:rPr>
                <w:t>Note 3: Securities</w:t>
              </w:r>
            </w:hyperlink>
          </w:p>
        </w:tc>
        <w:tc>
          <w:tcPr>
            <w:tcW w:w="5060" w:type="dxa"/>
            <w:vAlign w:val="bottom"/>
            <w:gridSpan w:val="31"/>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14</w:t>
            </w:r>
          </w:p>
        </w:tc>
      </w:tr>
      <w:tr>
        <w:trPr>
          <w:trHeight w:val="151"/>
        </w:trPr>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Borders>
              <w:bottom w:val="single" w:sz="8" w:color="0000FF"/>
            </w:tcBorders>
            <w:gridSpan w:val="28"/>
          </w:tcPr>
          <w:p>
            <w:pPr>
              <w:spacing w:after="0" w:line="151" w:lineRule="exact"/>
              <w:rPr>
                <w:rFonts w:ascii="Arial" w:cs="Arial" w:eastAsia="Arial" w:hAnsi="Arial"/>
                <w:sz w:val="14"/>
                <w:szCs w:val="14"/>
                <w:color w:val="0000FF"/>
                <w:w w:val="95"/>
              </w:rPr>
            </w:pPr>
            <w:hyperlink w:anchor="page18">
              <w:r>
                <w:rPr>
                  <w:rFonts w:ascii="Arial" w:cs="Arial" w:eastAsia="Arial" w:hAnsi="Arial"/>
                  <w:sz w:val="14"/>
                  <w:szCs w:val="14"/>
                  <w:color w:val="0000FF"/>
                  <w:w w:val="95"/>
                </w:rPr>
                <w:t>Note 4: Loans and Allowance for Loan Losses (“ALLL”)</w:t>
              </w:r>
            </w:hyperlink>
          </w:p>
        </w:tc>
        <w:tc>
          <w:tcPr>
            <w:tcW w:w="2820" w:type="dxa"/>
            <w:vAlign w:val="bottom"/>
            <w:gridSpan w:val="8"/>
          </w:tcPr>
          <w:p>
            <w:pPr>
              <w:spacing w:after="0"/>
              <w:rPr>
                <w:sz w:val="13"/>
                <w:szCs w:val="13"/>
                <w:color w:val="auto"/>
              </w:rPr>
            </w:pPr>
          </w:p>
        </w:tc>
        <w:tc>
          <w:tcPr>
            <w:tcW w:w="900" w:type="dxa"/>
            <w:vAlign w:val="bottom"/>
          </w:tcPr>
          <w:p>
            <w:pPr>
              <w:ind w:left="740"/>
              <w:spacing w:after="0" w:line="151" w:lineRule="exact"/>
              <w:rPr>
                <w:sz w:val="20"/>
                <w:szCs w:val="20"/>
                <w:color w:val="auto"/>
              </w:rPr>
            </w:pPr>
            <w:r>
              <w:rPr>
                <w:rFonts w:ascii="Arial" w:cs="Arial" w:eastAsia="Arial" w:hAnsi="Arial"/>
                <w:sz w:val="14"/>
                <w:szCs w:val="14"/>
                <w:color w:val="auto"/>
                <w:w w:val="89"/>
              </w:rPr>
              <w:t>18</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100" w:type="dxa"/>
            <w:vAlign w:val="bottom"/>
            <w:gridSpan w:val="36"/>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Note 5: Derivatives and Hedging</w:t>
              </w:r>
            </w:hyperlink>
          </w:p>
        </w:tc>
        <w:tc>
          <w:tcPr>
            <w:tcW w:w="900" w:type="dxa"/>
            <w:vAlign w:val="bottom"/>
          </w:tcPr>
          <w:p>
            <w:pPr>
              <w:ind w:left="740"/>
              <w:spacing w:after="0"/>
              <w:rPr>
                <w:sz w:val="20"/>
                <w:szCs w:val="20"/>
                <w:color w:val="auto"/>
              </w:rPr>
            </w:pPr>
            <w:r>
              <w:rPr>
                <w:rFonts w:ascii="Arial" w:cs="Arial" w:eastAsia="Arial" w:hAnsi="Arial"/>
                <w:sz w:val="14"/>
                <w:szCs w:val="14"/>
                <w:color w:val="auto"/>
                <w:w w:val="89"/>
              </w:rPr>
              <w:t>30</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Borders>
              <w:bottom w:val="single" w:sz="8" w:color="0000FF"/>
            </w:tcBorders>
            <w:gridSpan w:val="19"/>
          </w:tcPr>
          <w:p>
            <w:pPr>
              <w:spacing w:after="0"/>
              <w:rPr>
                <w:rFonts w:ascii="Arial" w:cs="Arial" w:eastAsia="Arial" w:hAnsi="Arial"/>
                <w:sz w:val="14"/>
                <w:szCs w:val="14"/>
                <w:color w:val="0000FF"/>
                <w:w w:val="92"/>
              </w:rPr>
            </w:pPr>
            <w:hyperlink w:anchor="page30">
              <w:r>
                <w:rPr>
                  <w:rFonts w:ascii="Arial" w:cs="Arial" w:eastAsia="Arial" w:hAnsi="Arial"/>
                  <w:sz w:val="14"/>
                  <w:szCs w:val="14"/>
                  <w:color w:val="0000FF"/>
                  <w:w w:val="92"/>
                </w:rPr>
                <w:t>Note 6: Time Deposits and Borrowings</w:t>
              </w:r>
            </w:hyperlink>
          </w:p>
        </w:tc>
        <w:tc>
          <w:tcPr>
            <w:tcW w:w="3860" w:type="dxa"/>
            <w:vAlign w:val="bottom"/>
            <w:gridSpan w:val="17"/>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30</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0" w:type="dxa"/>
            <w:vAlign w:val="bottom"/>
            <w:tcBorders>
              <w:bottom w:val="single" w:sz="8" w:color="0000FF"/>
            </w:tcBorders>
            <w:gridSpan w:val="34"/>
          </w:tcPr>
          <w:p>
            <w:pPr>
              <w:spacing w:after="0"/>
              <w:rPr>
                <w:rFonts w:ascii="Arial" w:cs="Arial" w:eastAsia="Arial" w:hAnsi="Arial"/>
                <w:sz w:val="14"/>
                <w:szCs w:val="14"/>
                <w:color w:val="0000FF"/>
                <w:w w:val="93"/>
              </w:rPr>
            </w:pPr>
            <w:hyperlink w:anchor="page31">
              <w:r>
                <w:rPr>
                  <w:rFonts w:ascii="Arial" w:cs="Arial" w:eastAsia="Arial" w:hAnsi="Arial"/>
                  <w:sz w:val="14"/>
                  <w:szCs w:val="14"/>
                  <w:color w:val="0000FF"/>
                  <w:w w:val="93"/>
                </w:rPr>
                <w:t>Note 7: Change in Accumulated Other Comprehensive Income (“AOCI”)</w:t>
              </w:r>
            </w:hyperlink>
          </w:p>
        </w:tc>
        <w:tc>
          <w:tcPr>
            <w:tcW w:w="1900" w:type="dxa"/>
            <w:vAlign w:val="bottom"/>
            <w:gridSpan w:val="2"/>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31</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100" w:type="dxa"/>
            <w:vAlign w:val="bottom"/>
            <w:gridSpan w:val="36"/>
          </w:tcPr>
          <w:p>
            <w:pPr>
              <w:spacing w:after="0"/>
              <w:rPr>
                <w:rFonts w:ascii="Arial" w:cs="Arial" w:eastAsia="Arial" w:hAnsi="Arial"/>
                <w:sz w:val="14"/>
                <w:szCs w:val="14"/>
                <w:color w:val="0000FF"/>
              </w:rPr>
            </w:pPr>
            <w:hyperlink w:anchor="page31">
              <w:r>
                <w:rPr>
                  <w:rFonts w:ascii="Arial" w:cs="Arial" w:eastAsia="Arial" w:hAnsi="Arial"/>
                  <w:sz w:val="14"/>
                  <w:szCs w:val="14"/>
                  <w:color w:val="0000FF"/>
                </w:rPr>
                <w:t>Note 8: Regulatory Matters</w:t>
              </w:r>
            </w:hyperlink>
          </w:p>
        </w:tc>
        <w:tc>
          <w:tcPr>
            <w:tcW w:w="900" w:type="dxa"/>
            <w:vAlign w:val="bottom"/>
          </w:tcPr>
          <w:p>
            <w:pPr>
              <w:ind w:left="740"/>
              <w:spacing w:after="0"/>
              <w:rPr>
                <w:sz w:val="20"/>
                <w:szCs w:val="20"/>
                <w:color w:val="auto"/>
              </w:rPr>
            </w:pPr>
            <w:r>
              <w:rPr>
                <w:rFonts w:ascii="Arial" w:cs="Arial" w:eastAsia="Arial" w:hAnsi="Arial"/>
                <w:sz w:val="14"/>
                <w:szCs w:val="14"/>
                <w:color w:val="auto"/>
                <w:w w:val="89"/>
              </w:rPr>
              <w:t>31</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Borders>
              <w:bottom w:val="single" w:sz="8" w:color="0000FF"/>
            </w:tcBorders>
            <w:gridSpan w:val="18"/>
          </w:tcPr>
          <w:p>
            <w:pPr>
              <w:spacing w:after="0"/>
              <w:rPr>
                <w:rFonts w:ascii="Arial" w:cs="Arial" w:eastAsia="Arial" w:hAnsi="Arial"/>
                <w:sz w:val="14"/>
                <w:szCs w:val="14"/>
                <w:color w:val="0000FF"/>
                <w:w w:val="90"/>
              </w:rPr>
            </w:pPr>
            <w:hyperlink w:anchor="page32">
              <w:r>
                <w:rPr>
                  <w:rFonts w:ascii="Arial" w:cs="Arial" w:eastAsia="Arial" w:hAnsi="Arial"/>
                  <w:sz w:val="14"/>
                  <w:szCs w:val="14"/>
                  <w:color w:val="0000FF"/>
                  <w:w w:val="90"/>
                </w:rPr>
                <w:t>Note 9: Stock-Based Compensation</w:t>
              </w:r>
            </w:hyperlink>
          </w:p>
        </w:tc>
        <w:tc>
          <w:tcPr>
            <w:tcW w:w="4060" w:type="dxa"/>
            <w:vAlign w:val="bottom"/>
            <w:gridSpan w:val="18"/>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32</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100" w:type="dxa"/>
            <w:vAlign w:val="bottom"/>
            <w:gridSpan w:val="36"/>
          </w:tcPr>
          <w:p>
            <w:pPr>
              <w:spacing w:after="0"/>
              <w:rPr>
                <w:rFonts w:ascii="Arial" w:cs="Arial" w:eastAsia="Arial" w:hAnsi="Arial"/>
                <w:sz w:val="14"/>
                <w:szCs w:val="14"/>
                <w:color w:val="0000FF"/>
              </w:rPr>
            </w:pPr>
            <w:hyperlink w:anchor="page34">
              <w:r>
                <w:rPr>
                  <w:rFonts w:ascii="Arial" w:cs="Arial" w:eastAsia="Arial" w:hAnsi="Arial"/>
                  <w:sz w:val="14"/>
                  <w:szCs w:val="14"/>
                  <w:color w:val="0000FF"/>
                </w:rPr>
                <w:t>Note 10: Income Tax</w:t>
              </w:r>
            </w:hyperlink>
          </w:p>
        </w:tc>
        <w:tc>
          <w:tcPr>
            <w:tcW w:w="900" w:type="dxa"/>
            <w:vAlign w:val="bottom"/>
          </w:tcPr>
          <w:p>
            <w:pPr>
              <w:ind w:left="740"/>
              <w:spacing w:after="0"/>
              <w:rPr>
                <w:sz w:val="20"/>
                <w:szCs w:val="20"/>
                <w:color w:val="auto"/>
              </w:rPr>
            </w:pPr>
            <w:r>
              <w:rPr>
                <w:rFonts w:ascii="Arial" w:cs="Arial" w:eastAsia="Arial" w:hAnsi="Arial"/>
                <w:sz w:val="14"/>
                <w:szCs w:val="14"/>
                <w:color w:val="auto"/>
                <w:w w:val="89"/>
              </w:rPr>
              <w:t>34</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tcBorders>
              <w:bottom w:val="single" w:sz="8" w:color="0000FF"/>
            </w:tcBorders>
            <w:gridSpan w:val="31"/>
          </w:tcPr>
          <w:p>
            <w:pPr>
              <w:spacing w:after="0"/>
              <w:rPr>
                <w:rFonts w:ascii="Arial" w:cs="Arial" w:eastAsia="Arial" w:hAnsi="Arial"/>
                <w:sz w:val="14"/>
                <w:szCs w:val="14"/>
                <w:color w:val="0000FF"/>
                <w:w w:val="92"/>
              </w:rPr>
            </w:pPr>
            <w:hyperlink w:anchor="page34">
              <w:r>
                <w:rPr>
                  <w:rFonts w:ascii="Arial" w:cs="Arial" w:eastAsia="Arial" w:hAnsi="Arial"/>
                  <w:sz w:val="14"/>
                  <w:szCs w:val="14"/>
                  <w:color w:val="0000FF"/>
                  <w:w w:val="92"/>
                </w:rPr>
                <w:t>Note 11: Disclosures about Fair Value of Financial Instruments</w:t>
              </w:r>
            </w:hyperlink>
          </w:p>
        </w:tc>
        <w:tc>
          <w:tcPr>
            <w:tcW w:w="2500" w:type="dxa"/>
            <w:vAlign w:val="bottom"/>
            <w:gridSpan w:val="5"/>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34</w:t>
            </w:r>
          </w:p>
        </w:tc>
      </w:tr>
      <w:tr>
        <w:trPr>
          <w:trHeight w:val="151"/>
        </w:trPr>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00" w:type="dxa"/>
            <w:vAlign w:val="bottom"/>
            <w:gridSpan w:val="36"/>
          </w:tcPr>
          <w:p>
            <w:pPr>
              <w:spacing w:after="0" w:line="151" w:lineRule="exact"/>
              <w:rPr>
                <w:rFonts w:ascii="Arial" w:cs="Arial" w:eastAsia="Arial" w:hAnsi="Arial"/>
                <w:sz w:val="14"/>
                <w:szCs w:val="14"/>
                <w:color w:val="0000FF"/>
              </w:rPr>
            </w:pPr>
            <w:hyperlink w:anchor="page38">
              <w:r>
                <w:rPr>
                  <w:rFonts w:ascii="Arial" w:cs="Arial" w:eastAsia="Arial" w:hAnsi="Arial"/>
                  <w:sz w:val="14"/>
                  <w:szCs w:val="14"/>
                  <w:color w:val="0000FF"/>
                </w:rPr>
                <w:t>Note 12: Commitments and Credit Risk</w:t>
              </w:r>
            </w:hyperlink>
          </w:p>
        </w:tc>
        <w:tc>
          <w:tcPr>
            <w:tcW w:w="900" w:type="dxa"/>
            <w:vAlign w:val="bottom"/>
          </w:tcPr>
          <w:p>
            <w:pPr>
              <w:ind w:left="740"/>
              <w:spacing w:after="0" w:line="151" w:lineRule="exact"/>
              <w:rPr>
                <w:sz w:val="20"/>
                <w:szCs w:val="20"/>
                <w:color w:val="auto"/>
              </w:rPr>
            </w:pPr>
            <w:r>
              <w:rPr>
                <w:rFonts w:ascii="Arial" w:cs="Arial" w:eastAsia="Arial" w:hAnsi="Arial"/>
                <w:sz w:val="14"/>
                <w:szCs w:val="14"/>
                <w:color w:val="auto"/>
                <w:w w:val="89"/>
              </w:rPr>
              <w:t>38</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tcBorders>
              <w:bottom w:val="single" w:sz="8" w:color="0000FF"/>
            </w:tcBorders>
            <w:gridSpan w:val="22"/>
          </w:tcPr>
          <w:p>
            <w:pPr>
              <w:spacing w:after="0"/>
              <w:rPr>
                <w:rFonts w:ascii="Arial" w:cs="Arial" w:eastAsia="Arial" w:hAnsi="Arial"/>
                <w:sz w:val="14"/>
                <w:szCs w:val="14"/>
                <w:color w:val="0000FF"/>
                <w:w w:val="91"/>
              </w:rPr>
            </w:pPr>
            <w:hyperlink w:anchor="page38">
              <w:r>
                <w:rPr>
                  <w:rFonts w:ascii="Arial" w:cs="Arial" w:eastAsia="Arial" w:hAnsi="Arial"/>
                  <w:sz w:val="14"/>
                  <w:szCs w:val="14"/>
                  <w:color w:val="0000FF"/>
                  <w:w w:val="91"/>
                </w:rPr>
                <w:t>Note 13: Legal and Regulatory Proceedings</w:t>
              </w:r>
            </w:hyperlink>
          </w:p>
        </w:tc>
        <w:tc>
          <w:tcPr>
            <w:tcW w:w="3600" w:type="dxa"/>
            <w:vAlign w:val="bottom"/>
            <w:gridSpan w:val="14"/>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38</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Borders>
              <w:bottom w:val="single" w:sz="8" w:color="0000FF"/>
            </w:tcBorders>
            <w:gridSpan w:val="12"/>
          </w:tcPr>
          <w:p>
            <w:pPr>
              <w:spacing w:after="0"/>
              <w:rPr>
                <w:rFonts w:ascii="Arial" w:cs="Arial" w:eastAsia="Arial" w:hAnsi="Arial"/>
                <w:sz w:val="14"/>
                <w:szCs w:val="14"/>
                <w:color w:val="0000FF"/>
                <w:w w:val="89"/>
              </w:rPr>
            </w:pPr>
            <w:hyperlink w:anchor="page38">
              <w:r>
                <w:rPr>
                  <w:rFonts w:ascii="Arial" w:cs="Arial" w:eastAsia="Arial" w:hAnsi="Arial"/>
                  <w:sz w:val="14"/>
                  <w:szCs w:val="14"/>
                  <w:color w:val="0000FF"/>
                  <w:w w:val="89"/>
                </w:rPr>
                <w:t>Note 14: Subsequent Events</w:t>
              </w:r>
            </w:hyperlink>
          </w:p>
        </w:tc>
        <w:tc>
          <w:tcPr>
            <w:tcW w:w="4480" w:type="dxa"/>
            <w:vAlign w:val="bottom"/>
            <w:gridSpan w:val="24"/>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38</w:t>
            </w:r>
          </w:p>
        </w:tc>
      </w:tr>
      <w:tr>
        <w:trPr>
          <w:trHeight w:val="193"/>
        </w:trPr>
        <w:tc>
          <w:tcPr>
            <w:tcW w:w="80" w:type="dxa"/>
            <w:vAlign w:val="bottom"/>
          </w:tcPr>
          <w:p>
            <w:pPr>
              <w:spacing w:after="0"/>
              <w:rPr>
                <w:sz w:val="16"/>
                <w:szCs w:val="16"/>
                <w:color w:val="auto"/>
              </w:rPr>
            </w:pPr>
          </w:p>
        </w:tc>
        <w:tc>
          <w:tcPr>
            <w:tcW w:w="6280" w:type="dxa"/>
            <w:vAlign w:val="bottom"/>
            <w:gridSpan w:val="38"/>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900" w:type="dxa"/>
            <w:vAlign w:val="bottom"/>
          </w:tcPr>
          <w:p>
            <w:pPr>
              <w:spacing w:after="0"/>
              <w:rPr>
                <w:sz w:val="16"/>
                <w:szCs w:val="16"/>
                <w:color w:val="auto"/>
              </w:rPr>
            </w:pPr>
          </w:p>
        </w:tc>
      </w:tr>
      <w:tr>
        <w:trPr>
          <w:trHeight w:val="150"/>
        </w:trPr>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Borders>
              <w:bottom w:val="single" w:sz="8" w:color="0000FF"/>
            </w:tcBorders>
            <w:gridSpan w:val="14"/>
          </w:tcPr>
          <w:p>
            <w:pPr>
              <w:spacing w:after="0" w:line="150" w:lineRule="exact"/>
              <w:rPr>
                <w:rFonts w:ascii="Arial" w:cs="Arial" w:eastAsia="Arial" w:hAnsi="Arial"/>
                <w:sz w:val="14"/>
                <w:szCs w:val="14"/>
                <w:color w:val="0000FF"/>
                <w:w w:val="93"/>
              </w:rPr>
            </w:pPr>
            <w:hyperlink w:anchor="page39">
              <w:r>
                <w:rPr>
                  <w:rFonts w:ascii="Arial" w:cs="Arial" w:eastAsia="Arial" w:hAnsi="Arial"/>
                  <w:sz w:val="14"/>
                  <w:szCs w:val="14"/>
                  <w:color w:val="0000FF"/>
                  <w:w w:val="93"/>
                </w:rPr>
                <w:t>Third Quarter 2021 Highlights</w:t>
              </w:r>
            </w:hyperlink>
          </w:p>
        </w:tc>
        <w:tc>
          <w:tcPr>
            <w:tcW w:w="4440" w:type="dxa"/>
            <w:vAlign w:val="bottom"/>
            <w:gridSpan w:val="23"/>
          </w:tcPr>
          <w:p>
            <w:pPr>
              <w:spacing w:after="0"/>
              <w:rPr>
                <w:sz w:val="13"/>
                <w:szCs w:val="13"/>
                <w:color w:val="auto"/>
              </w:rPr>
            </w:pPr>
          </w:p>
        </w:tc>
        <w:tc>
          <w:tcPr>
            <w:tcW w:w="900" w:type="dxa"/>
            <w:vAlign w:val="bottom"/>
          </w:tcPr>
          <w:p>
            <w:pPr>
              <w:ind w:left="740"/>
              <w:spacing w:after="0" w:line="150" w:lineRule="exact"/>
              <w:rPr>
                <w:sz w:val="20"/>
                <w:szCs w:val="20"/>
                <w:color w:val="auto"/>
              </w:rPr>
            </w:pPr>
            <w:r>
              <w:rPr>
                <w:rFonts w:ascii="Arial" w:cs="Arial" w:eastAsia="Arial" w:hAnsi="Arial"/>
                <w:sz w:val="14"/>
                <w:szCs w:val="14"/>
                <w:color w:val="auto"/>
                <w:w w:val="89"/>
              </w:rPr>
              <w:t>39</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80" w:type="dxa"/>
            <w:vAlign w:val="bottom"/>
            <w:gridSpan w:val="37"/>
          </w:tcPr>
          <w:p>
            <w:pPr>
              <w:spacing w:after="0"/>
              <w:rPr>
                <w:rFonts w:ascii="Arial" w:cs="Arial" w:eastAsia="Arial" w:hAnsi="Arial"/>
                <w:sz w:val="14"/>
                <w:szCs w:val="14"/>
                <w:color w:val="0000FF"/>
              </w:rPr>
            </w:pPr>
            <w:hyperlink w:anchor="page41">
              <w:r>
                <w:rPr>
                  <w:rFonts w:ascii="Arial" w:cs="Arial" w:eastAsia="Arial" w:hAnsi="Arial"/>
                  <w:sz w:val="14"/>
                  <w:szCs w:val="14"/>
                  <w:color w:val="0000FF"/>
                </w:rPr>
                <w:t>Results of Operations</w:t>
              </w:r>
            </w:hyperlink>
          </w:p>
        </w:tc>
        <w:tc>
          <w:tcPr>
            <w:tcW w:w="900" w:type="dxa"/>
            <w:vAlign w:val="bottom"/>
          </w:tcPr>
          <w:p>
            <w:pPr>
              <w:ind w:left="740"/>
              <w:spacing w:after="0"/>
              <w:rPr>
                <w:sz w:val="20"/>
                <w:szCs w:val="20"/>
                <w:color w:val="auto"/>
              </w:rPr>
            </w:pPr>
            <w:r>
              <w:rPr>
                <w:rFonts w:ascii="Arial" w:cs="Arial" w:eastAsia="Arial" w:hAnsi="Arial"/>
                <w:sz w:val="14"/>
                <w:szCs w:val="14"/>
                <w:color w:val="auto"/>
                <w:w w:val="89"/>
              </w:rPr>
              <w:t>41</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0000FF"/>
            </w:tcBorders>
            <w:gridSpan w:val="8"/>
          </w:tcPr>
          <w:p>
            <w:pPr>
              <w:spacing w:after="0"/>
              <w:rPr>
                <w:rFonts w:ascii="Arial" w:cs="Arial" w:eastAsia="Arial" w:hAnsi="Arial"/>
                <w:sz w:val="14"/>
                <w:szCs w:val="14"/>
                <w:color w:val="0000FF"/>
                <w:w w:val="98"/>
              </w:rPr>
            </w:pPr>
            <w:hyperlink w:anchor="page41">
              <w:r>
                <w:rPr>
                  <w:rFonts w:ascii="Arial" w:cs="Arial" w:eastAsia="Arial" w:hAnsi="Arial"/>
                  <w:sz w:val="14"/>
                  <w:szCs w:val="14"/>
                  <w:color w:val="0000FF"/>
                  <w:w w:val="98"/>
                </w:rPr>
                <w:t>Net Interest Income</w:t>
              </w:r>
            </w:hyperlink>
          </w:p>
        </w:tc>
        <w:tc>
          <w:tcPr>
            <w:tcW w:w="4960" w:type="dxa"/>
            <w:vAlign w:val="bottom"/>
            <w:gridSpan w:val="29"/>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41</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51"/>
        </w:trPr>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0000FF"/>
            </w:tcBorders>
            <w:gridSpan w:val="7"/>
          </w:tcPr>
          <w:p>
            <w:pPr>
              <w:spacing w:after="0" w:line="151" w:lineRule="exact"/>
              <w:rPr>
                <w:rFonts w:ascii="Arial" w:cs="Arial" w:eastAsia="Arial" w:hAnsi="Arial"/>
                <w:sz w:val="14"/>
                <w:szCs w:val="14"/>
                <w:color w:val="0000FF"/>
                <w:w w:val="91"/>
              </w:rPr>
            </w:pPr>
            <w:hyperlink w:anchor="page45">
              <w:r>
                <w:rPr>
                  <w:rFonts w:ascii="Arial" w:cs="Arial" w:eastAsia="Arial" w:hAnsi="Arial"/>
                  <w:sz w:val="14"/>
                  <w:szCs w:val="14"/>
                  <w:color w:val="0000FF"/>
                  <w:w w:val="91"/>
                </w:rPr>
                <w:t>Non-Interest Income</w:t>
              </w:r>
            </w:hyperlink>
          </w:p>
        </w:tc>
        <w:tc>
          <w:tcPr>
            <w:tcW w:w="5000" w:type="dxa"/>
            <w:vAlign w:val="bottom"/>
            <w:gridSpan w:val="30"/>
          </w:tcPr>
          <w:p>
            <w:pPr>
              <w:spacing w:after="0"/>
              <w:rPr>
                <w:sz w:val="13"/>
                <w:szCs w:val="13"/>
                <w:color w:val="auto"/>
              </w:rPr>
            </w:pPr>
          </w:p>
        </w:tc>
        <w:tc>
          <w:tcPr>
            <w:tcW w:w="900" w:type="dxa"/>
            <w:vAlign w:val="bottom"/>
          </w:tcPr>
          <w:p>
            <w:pPr>
              <w:ind w:left="740"/>
              <w:spacing w:after="0" w:line="151" w:lineRule="exact"/>
              <w:rPr>
                <w:sz w:val="20"/>
                <w:szCs w:val="20"/>
                <w:color w:val="auto"/>
              </w:rPr>
            </w:pPr>
            <w:r>
              <w:rPr>
                <w:rFonts w:ascii="Arial" w:cs="Arial" w:eastAsia="Arial" w:hAnsi="Arial"/>
                <w:sz w:val="14"/>
                <w:szCs w:val="14"/>
                <w:color w:val="auto"/>
                <w:w w:val="89"/>
              </w:rPr>
              <w:t>45</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0000FF"/>
            </w:tcBorders>
            <w:gridSpan w:val="9"/>
          </w:tcPr>
          <w:p>
            <w:pPr>
              <w:spacing w:after="0"/>
              <w:rPr>
                <w:rFonts w:ascii="Arial" w:cs="Arial" w:eastAsia="Arial" w:hAnsi="Arial"/>
                <w:sz w:val="14"/>
                <w:szCs w:val="14"/>
                <w:color w:val="0000FF"/>
                <w:w w:val="91"/>
              </w:rPr>
            </w:pPr>
            <w:hyperlink w:anchor="page47">
              <w:r>
                <w:rPr>
                  <w:rFonts w:ascii="Arial" w:cs="Arial" w:eastAsia="Arial" w:hAnsi="Arial"/>
                  <w:sz w:val="14"/>
                  <w:szCs w:val="14"/>
                  <w:color w:val="0000FF"/>
                  <w:w w:val="91"/>
                </w:rPr>
                <w:t>Non-Interest Expense</w:t>
              </w:r>
            </w:hyperlink>
          </w:p>
        </w:tc>
        <w:tc>
          <w:tcPr>
            <w:tcW w:w="4900" w:type="dxa"/>
            <w:vAlign w:val="bottom"/>
            <w:gridSpan w:val="28"/>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47</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80" w:type="dxa"/>
            <w:vAlign w:val="bottom"/>
            <w:gridSpan w:val="37"/>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Income Taxes</w:t>
              </w:r>
            </w:hyperlink>
          </w:p>
        </w:tc>
        <w:tc>
          <w:tcPr>
            <w:tcW w:w="900" w:type="dxa"/>
            <w:vAlign w:val="bottom"/>
          </w:tcPr>
          <w:p>
            <w:pPr>
              <w:ind w:left="740"/>
              <w:spacing w:after="0"/>
              <w:rPr>
                <w:sz w:val="20"/>
                <w:szCs w:val="20"/>
                <w:color w:val="auto"/>
              </w:rPr>
            </w:pPr>
            <w:r>
              <w:rPr>
                <w:rFonts w:ascii="Arial" w:cs="Arial" w:eastAsia="Arial" w:hAnsi="Arial"/>
                <w:sz w:val="14"/>
                <w:szCs w:val="14"/>
                <w:color w:val="auto"/>
                <w:w w:val="89"/>
              </w:rPr>
              <w:t>48</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bottom w:val="single" w:sz="8" w:color="0000FF"/>
            </w:tcBorders>
            <w:gridSpan w:val="16"/>
          </w:tcPr>
          <w:p>
            <w:pPr>
              <w:spacing w:after="0"/>
              <w:rPr>
                <w:rFonts w:ascii="Arial" w:cs="Arial" w:eastAsia="Arial" w:hAnsi="Arial"/>
                <w:sz w:val="14"/>
                <w:szCs w:val="14"/>
                <w:color w:val="0000FF"/>
                <w:w w:val="94"/>
              </w:rPr>
            </w:pPr>
            <w:hyperlink w:anchor="page49">
              <w:r>
                <w:rPr>
                  <w:rFonts w:ascii="Arial" w:cs="Arial" w:eastAsia="Arial" w:hAnsi="Arial"/>
                  <w:sz w:val="14"/>
                  <w:szCs w:val="14"/>
                  <w:color w:val="0000FF"/>
                  <w:w w:val="94"/>
                </w:rPr>
                <w:t>Analysis of Financial Condition</w:t>
              </w:r>
            </w:hyperlink>
          </w:p>
        </w:tc>
        <w:tc>
          <w:tcPr>
            <w:tcW w:w="4360" w:type="dxa"/>
            <w:vAlign w:val="bottom"/>
            <w:gridSpan w:val="21"/>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49</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0000FF"/>
            </w:tcBorders>
            <w:gridSpan w:val="6"/>
          </w:tcPr>
          <w:p>
            <w:pPr>
              <w:spacing w:after="0"/>
              <w:rPr>
                <w:rFonts w:ascii="Arial" w:cs="Arial" w:eastAsia="Arial" w:hAnsi="Arial"/>
                <w:sz w:val="14"/>
                <w:szCs w:val="14"/>
                <w:color w:val="0000FF"/>
                <w:w w:val="92"/>
              </w:rPr>
            </w:pPr>
            <w:hyperlink w:anchor="page49">
              <w:r>
                <w:rPr>
                  <w:rFonts w:ascii="Arial" w:cs="Arial" w:eastAsia="Arial" w:hAnsi="Arial"/>
                  <w:sz w:val="14"/>
                  <w:szCs w:val="14"/>
                  <w:color w:val="0000FF"/>
                  <w:w w:val="92"/>
                </w:rPr>
                <w:t>Securities Portfolio</w:t>
              </w:r>
            </w:hyperlink>
          </w:p>
        </w:tc>
        <w:tc>
          <w:tcPr>
            <w:tcW w:w="5060" w:type="dxa"/>
            <w:vAlign w:val="bottom"/>
            <w:gridSpan w:val="31"/>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49</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80" w:type="dxa"/>
            <w:vAlign w:val="bottom"/>
            <w:gridSpan w:val="37"/>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Loan Portfolio</w:t>
              </w:r>
            </w:hyperlink>
          </w:p>
        </w:tc>
        <w:tc>
          <w:tcPr>
            <w:tcW w:w="900" w:type="dxa"/>
            <w:vAlign w:val="bottom"/>
          </w:tcPr>
          <w:p>
            <w:pPr>
              <w:ind w:left="740"/>
              <w:spacing w:after="0"/>
              <w:rPr>
                <w:sz w:val="20"/>
                <w:szCs w:val="20"/>
                <w:color w:val="auto"/>
              </w:rPr>
            </w:pPr>
            <w:r>
              <w:rPr>
                <w:rFonts w:ascii="Arial" w:cs="Arial" w:eastAsia="Arial" w:hAnsi="Arial"/>
                <w:sz w:val="14"/>
                <w:szCs w:val="14"/>
                <w:color w:val="auto"/>
                <w:w w:val="89"/>
              </w:rPr>
              <w:t>49</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tcBorders>
              <w:bottom w:val="single" w:sz="8" w:color="0000FF"/>
            </w:tcBorders>
            <w:gridSpan w:val="26"/>
          </w:tcPr>
          <w:p>
            <w:pPr>
              <w:spacing w:after="0"/>
              <w:rPr>
                <w:rFonts w:ascii="Arial" w:cs="Arial" w:eastAsia="Arial" w:hAnsi="Arial"/>
                <w:sz w:val="14"/>
                <w:szCs w:val="14"/>
                <w:color w:val="0000FF"/>
                <w:w w:val="96"/>
              </w:rPr>
            </w:pPr>
            <w:hyperlink w:anchor="page50">
              <w:r>
                <w:rPr>
                  <w:rFonts w:ascii="Arial" w:cs="Arial" w:eastAsia="Arial" w:hAnsi="Arial"/>
                  <w:sz w:val="14"/>
                  <w:szCs w:val="14"/>
                  <w:color w:val="0000FF"/>
                  <w:w w:val="96"/>
                </w:rPr>
                <w:t>Provision and Allowance for Loan Losses (‘‘ALLL’’)</w:t>
              </w:r>
            </w:hyperlink>
          </w:p>
        </w:tc>
        <w:tc>
          <w:tcPr>
            <w:tcW w:w="3140" w:type="dxa"/>
            <w:vAlign w:val="bottom"/>
            <w:gridSpan w:val="11"/>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50</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80" w:type="dxa"/>
            <w:vAlign w:val="bottom"/>
            <w:gridSpan w:val="37"/>
          </w:tcPr>
          <w:p>
            <w:pPr>
              <w:spacing w:after="0"/>
              <w:rPr>
                <w:rFonts w:ascii="Arial" w:cs="Arial" w:eastAsia="Arial" w:hAnsi="Arial"/>
                <w:sz w:val="14"/>
                <w:szCs w:val="14"/>
                <w:color w:val="0000FF"/>
              </w:rPr>
            </w:pPr>
            <w:hyperlink w:anchor="page53">
              <w:r>
                <w:rPr>
                  <w:rFonts w:ascii="Arial" w:cs="Arial" w:eastAsia="Arial" w:hAnsi="Arial"/>
                  <w:sz w:val="14"/>
                  <w:szCs w:val="14"/>
                  <w:color w:val="0000FF"/>
                </w:rPr>
                <w:t>Nonperforming Assets and Other Asset Quality Metrics</w:t>
              </w:r>
            </w:hyperlink>
          </w:p>
        </w:tc>
        <w:tc>
          <w:tcPr>
            <w:tcW w:w="900" w:type="dxa"/>
            <w:vAlign w:val="bottom"/>
          </w:tcPr>
          <w:p>
            <w:pPr>
              <w:ind w:left="740"/>
              <w:spacing w:after="0"/>
              <w:rPr>
                <w:sz w:val="20"/>
                <w:szCs w:val="20"/>
                <w:color w:val="auto"/>
              </w:rPr>
            </w:pPr>
            <w:r>
              <w:rPr>
                <w:rFonts w:ascii="Arial" w:cs="Arial" w:eastAsia="Arial" w:hAnsi="Arial"/>
                <w:sz w:val="14"/>
                <w:szCs w:val="14"/>
                <w:color w:val="auto"/>
                <w:w w:val="89"/>
              </w:rPr>
              <w:t>53</w:t>
            </w:r>
          </w:p>
        </w:tc>
      </w:tr>
      <w:tr>
        <w:trPr>
          <w:trHeight w:val="151"/>
        </w:trPr>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60" w:type="dxa"/>
            <w:vAlign w:val="bottom"/>
            <w:tcBorders>
              <w:top w:val="single" w:sz="8" w:color="0000FF"/>
            </w:tcBorders>
            <w:gridSpan w:val="27"/>
          </w:tcPr>
          <w:p>
            <w:pPr>
              <w:spacing w:after="0" w:line="151" w:lineRule="exact"/>
              <w:rPr>
                <w:rFonts w:ascii="Arial" w:cs="Arial" w:eastAsia="Arial" w:hAnsi="Arial"/>
                <w:sz w:val="14"/>
                <w:szCs w:val="14"/>
                <w:color w:val="0000FF"/>
              </w:rPr>
            </w:pPr>
            <w:hyperlink w:anchor="page55">
              <w:r>
                <w:rPr>
                  <w:rFonts w:ascii="Arial" w:cs="Arial" w:eastAsia="Arial" w:hAnsi="Arial"/>
                  <w:sz w:val="14"/>
                  <w:szCs w:val="14"/>
                  <w:color w:val="0000FF"/>
                </w:rPr>
                <w:t>Deposits and Other Borrowings</w:t>
              </w:r>
            </w:hyperlink>
          </w:p>
        </w:tc>
        <w:tc>
          <w:tcPr>
            <w:tcW w:w="3020" w:type="dxa"/>
            <w:vAlign w:val="bottom"/>
            <w:gridSpan w:val="10"/>
          </w:tcPr>
          <w:p>
            <w:pPr>
              <w:spacing w:after="0"/>
              <w:rPr>
                <w:sz w:val="13"/>
                <w:szCs w:val="13"/>
                <w:color w:val="auto"/>
              </w:rPr>
            </w:pPr>
          </w:p>
        </w:tc>
        <w:tc>
          <w:tcPr>
            <w:tcW w:w="900" w:type="dxa"/>
            <w:vAlign w:val="bottom"/>
          </w:tcPr>
          <w:p>
            <w:pPr>
              <w:ind w:left="740"/>
              <w:spacing w:after="0" w:line="151" w:lineRule="exact"/>
              <w:rPr>
                <w:sz w:val="20"/>
                <w:szCs w:val="20"/>
                <w:color w:val="auto"/>
              </w:rPr>
            </w:pPr>
            <w:r>
              <w:rPr>
                <w:rFonts w:ascii="Arial" w:cs="Arial" w:eastAsia="Arial" w:hAnsi="Arial"/>
                <w:sz w:val="14"/>
                <w:szCs w:val="14"/>
                <w:color w:val="auto"/>
                <w:w w:val="89"/>
              </w:rPr>
              <w:t>55</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top w:val="single" w:sz="8" w:color="0000FF"/>
            </w:tcBorders>
            <w:gridSpan w:val="15"/>
          </w:tcPr>
          <w:p>
            <w:pPr>
              <w:spacing w:after="0"/>
              <w:rPr>
                <w:rFonts w:ascii="Arial" w:cs="Arial" w:eastAsia="Arial" w:hAnsi="Arial"/>
                <w:sz w:val="14"/>
                <w:szCs w:val="14"/>
                <w:color w:val="0000FF"/>
              </w:rPr>
            </w:pPr>
            <w:hyperlink w:anchor="page57">
              <w:r>
                <w:rPr>
                  <w:rFonts w:ascii="Arial" w:cs="Arial" w:eastAsia="Arial" w:hAnsi="Arial"/>
                  <w:sz w:val="14"/>
                  <w:szCs w:val="14"/>
                  <w:color w:val="0000FF"/>
                </w:rPr>
                <w:t>Liquidity</w:t>
              </w:r>
            </w:hyperlink>
          </w:p>
        </w:tc>
        <w:tc>
          <w:tcPr>
            <w:tcW w:w="4380" w:type="dxa"/>
            <w:vAlign w:val="bottom"/>
            <w:gridSpan w:val="22"/>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57</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bottom w:val="single" w:sz="8" w:color="0000FF"/>
            </w:tcBorders>
            <w:gridSpan w:val="10"/>
          </w:tcPr>
          <w:p>
            <w:pPr>
              <w:spacing w:after="0"/>
              <w:rPr>
                <w:rFonts w:ascii="Arial" w:cs="Arial" w:eastAsia="Arial" w:hAnsi="Arial"/>
                <w:sz w:val="14"/>
                <w:szCs w:val="14"/>
                <w:color w:val="0000FF"/>
                <w:w w:val="92"/>
              </w:rPr>
            </w:pPr>
            <w:hyperlink w:anchor="page57">
              <w:r>
                <w:rPr>
                  <w:rFonts w:ascii="Arial" w:cs="Arial" w:eastAsia="Arial" w:hAnsi="Arial"/>
                  <w:sz w:val="14"/>
                  <w:szCs w:val="14"/>
                  <w:color w:val="0000FF"/>
                  <w:w w:val="92"/>
                </w:rPr>
                <w:t>Contractual Obligations</w:t>
              </w:r>
            </w:hyperlink>
          </w:p>
        </w:tc>
        <w:tc>
          <w:tcPr>
            <w:tcW w:w="4820" w:type="dxa"/>
            <w:vAlign w:val="bottom"/>
            <w:gridSpan w:val="27"/>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57</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80" w:type="dxa"/>
            <w:vAlign w:val="bottom"/>
            <w:gridSpan w:val="37"/>
          </w:tcPr>
          <w:p>
            <w:pPr>
              <w:spacing w:after="0"/>
              <w:rPr>
                <w:rFonts w:ascii="Arial" w:cs="Arial" w:eastAsia="Arial" w:hAnsi="Arial"/>
                <w:sz w:val="14"/>
                <w:szCs w:val="14"/>
                <w:color w:val="0000FF"/>
              </w:rPr>
            </w:pPr>
            <w:hyperlink w:anchor="page57">
              <w:r>
                <w:rPr>
                  <w:rFonts w:ascii="Arial" w:cs="Arial" w:eastAsia="Arial" w:hAnsi="Arial"/>
                  <w:sz w:val="14"/>
                  <w:szCs w:val="14"/>
                  <w:color w:val="0000FF"/>
                </w:rPr>
                <w:t>Capital Resources and Off-Balance Sheet Arrangements</w:t>
              </w:r>
            </w:hyperlink>
          </w:p>
        </w:tc>
        <w:tc>
          <w:tcPr>
            <w:tcW w:w="900" w:type="dxa"/>
            <w:vAlign w:val="bottom"/>
          </w:tcPr>
          <w:p>
            <w:pPr>
              <w:ind w:left="740"/>
              <w:spacing w:after="0"/>
              <w:rPr>
                <w:sz w:val="20"/>
                <w:szCs w:val="20"/>
                <w:color w:val="auto"/>
              </w:rPr>
            </w:pPr>
            <w:r>
              <w:rPr>
                <w:rFonts w:ascii="Arial" w:cs="Arial" w:eastAsia="Arial" w:hAnsi="Arial"/>
                <w:sz w:val="14"/>
                <w:szCs w:val="14"/>
                <w:color w:val="auto"/>
                <w:w w:val="89"/>
              </w:rPr>
              <w:t>57</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Borders>
              <w:top w:val="single" w:sz="8" w:color="0000FF"/>
            </w:tcBorders>
            <w:gridSpan w:val="28"/>
          </w:tcPr>
          <w:p>
            <w:pPr>
              <w:spacing w:after="0"/>
              <w:rPr>
                <w:rFonts w:ascii="Arial" w:cs="Arial" w:eastAsia="Arial" w:hAnsi="Arial"/>
                <w:sz w:val="14"/>
                <w:szCs w:val="14"/>
                <w:color w:val="0000FF"/>
              </w:rPr>
            </w:pPr>
            <w:hyperlink w:anchor="page58">
              <w:r>
                <w:rPr>
                  <w:rFonts w:ascii="Arial" w:cs="Arial" w:eastAsia="Arial" w:hAnsi="Arial"/>
                  <w:sz w:val="14"/>
                  <w:szCs w:val="14"/>
                  <w:color w:val="0000FF"/>
                </w:rPr>
                <w:t>Critical Accounting Policies and Estimates</w:t>
              </w:r>
            </w:hyperlink>
          </w:p>
        </w:tc>
        <w:tc>
          <w:tcPr>
            <w:tcW w:w="2980" w:type="dxa"/>
            <w:vAlign w:val="bottom"/>
            <w:gridSpan w:val="9"/>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58</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3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80" w:type="dxa"/>
            <w:vAlign w:val="bottom"/>
            <w:gridSpan w:val="37"/>
          </w:tcPr>
          <w:p>
            <w:pPr>
              <w:spacing w:after="0"/>
              <w:rPr>
                <w:rFonts w:ascii="Arial" w:cs="Arial" w:eastAsia="Arial" w:hAnsi="Arial"/>
                <w:sz w:val="14"/>
                <w:szCs w:val="14"/>
                <w:color w:val="0000FF"/>
              </w:rPr>
            </w:pPr>
            <w:hyperlink w:anchor="page59">
              <w:r>
                <w:rPr>
                  <w:rFonts w:ascii="Arial" w:cs="Arial" w:eastAsia="Arial" w:hAnsi="Arial"/>
                  <w:sz w:val="14"/>
                  <w:szCs w:val="14"/>
                  <w:color w:val="0000FF"/>
                </w:rPr>
                <w:t>Item 3. Quantitative and Qualitative Disclosures about Market Risk</w:t>
              </w:r>
            </w:hyperlink>
          </w:p>
        </w:tc>
        <w:tc>
          <w:tcPr>
            <w:tcW w:w="900" w:type="dxa"/>
            <w:vAlign w:val="bottom"/>
          </w:tcPr>
          <w:p>
            <w:pPr>
              <w:ind w:left="740"/>
              <w:spacing w:after="0"/>
              <w:rPr>
                <w:sz w:val="20"/>
                <w:szCs w:val="20"/>
                <w:color w:val="auto"/>
              </w:rPr>
            </w:pPr>
            <w:r>
              <w:rPr>
                <w:rFonts w:ascii="Arial" w:cs="Arial" w:eastAsia="Arial" w:hAnsi="Arial"/>
                <w:sz w:val="14"/>
                <w:szCs w:val="14"/>
                <w:color w:val="auto"/>
                <w:w w:val="89"/>
              </w:rPr>
              <w:t>59</w:t>
            </w:r>
          </w:p>
        </w:tc>
      </w:tr>
      <w:tr>
        <w:trPr>
          <w:trHeight w:val="161"/>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17"/>
          </w:tcPr>
          <w:p>
            <w:pPr>
              <w:spacing w:after="0"/>
              <w:rPr>
                <w:rFonts w:ascii="Arial" w:cs="Arial" w:eastAsia="Arial" w:hAnsi="Arial"/>
                <w:sz w:val="14"/>
                <w:szCs w:val="14"/>
                <w:color w:val="0000FF"/>
                <w:w w:val="90"/>
              </w:rPr>
            </w:pPr>
            <w:hyperlink w:anchor="page60">
              <w:r>
                <w:rPr>
                  <w:rFonts w:ascii="Arial" w:cs="Arial" w:eastAsia="Arial" w:hAnsi="Arial"/>
                  <w:sz w:val="14"/>
                  <w:szCs w:val="14"/>
                  <w:color w:val="0000FF"/>
                  <w:w w:val="90"/>
                </w:rPr>
                <w:t>Item 4. Controls and Procedures</w:t>
              </w:r>
            </w:hyperlink>
          </w:p>
        </w:tc>
        <w:tc>
          <w:tcPr>
            <w:tcW w:w="2000" w:type="dxa"/>
            <w:vAlign w:val="bottom"/>
            <w:tcBorders>
              <w:top w:val="single" w:sz="8" w:color="0000FF"/>
            </w:tcBorders>
            <w:gridSpan w:val="17"/>
          </w:tcPr>
          <w:p>
            <w:pPr>
              <w:spacing w:after="0"/>
              <w:rPr>
                <w:sz w:val="14"/>
                <w:szCs w:val="14"/>
                <w:color w:val="auto"/>
              </w:rPr>
            </w:pPr>
          </w:p>
        </w:tc>
        <w:tc>
          <w:tcPr>
            <w:tcW w:w="2340" w:type="dxa"/>
            <w:vAlign w:val="bottom"/>
            <w:gridSpan w:val="3"/>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60</w:t>
            </w:r>
          </w:p>
        </w:tc>
      </w:tr>
      <w:tr>
        <w:trPr>
          <w:trHeight w:val="182"/>
        </w:trPr>
        <w:tc>
          <w:tcPr>
            <w:tcW w:w="6360" w:type="dxa"/>
            <w:vAlign w:val="bottom"/>
            <w:gridSpan w:val="39"/>
          </w:tcPr>
          <w:p>
            <w:pPr>
              <w:spacing w:after="0"/>
              <w:rPr>
                <w:sz w:val="20"/>
                <w:szCs w:val="20"/>
                <w:color w:val="auto"/>
              </w:rPr>
            </w:pPr>
            <w:r>
              <w:rPr>
                <w:rFonts w:ascii="Arial" w:cs="Arial" w:eastAsia="Arial" w:hAnsi="Arial"/>
                <w:sz w:val="14"/>
                <w:szCs w:val="14"/>
                <w:color w:val="auto"/>
              </w:rPr>
              <w:t>Part II. Other Information</w:t>
            </w:r>
          </w:p>
        </w:tc>
        <w:tc>
          <w:tcPr>
            <w:tcW w:w="900" w:type="dxa"/>
            <w:vAlign w:val="bottom"/>
          </w:tcPr>
          <w:p>
            <w:pPr>
              <w:spacing w:after="0"/>
              <w:rPr>
                <w:sz w:val="15"/>
                <w:szCs w:val="15"/>
                <w:color w:val="auto"/>
              </w:rPr>
            </w:pPr>
          </w:p>
        </w:tc>
      </w:tr>
      <w:tr>
        <w:trPr>
          <w:trHeight w:val="150"/>
        </w:trPr>
        <w:tc>
          <w:tcPr>
            <w:tcW w:w="80" w:type="dxa"/>
            <w:vAlign w:val="bottom"/>
          </w:tcPr>
          <w:p>
            <w:pPr>
              <w:spacing w:after="0"/>
              <w:rPr>
                <w:sz w:val="13"/>
                <w:szCs w:val="13"/>
                <w:color w:val="auto"/>
              </w:rPr>
            </w:pPr>
          </w:p>
        </w:tc>
        <w:tc>
          <w:tcPr>
            <w:tcW w:w="6280" w:type="dxa"/>
            <w:vAlign w:val="bottom"/>
            <w:gridSpan w:val="38"/>
          </w:tcPr>
          <w:p>
            <w:pPr>
              <w:spacing w:after="0" w:line="150" w:lineRule="exact"/>
              <w:rPr>
                <w:rFonts w:ascii="Arial" w:cs="Arial" w:eastAsia="Arial" w:hAnsi="Arial"/>
                <w:sz w:val="14"/>
                <w:szCs w:val="14"/>
                <w:color w:val="0000FF"/>
              </w:rPr>
            </w:pPr>
            <w:hyperlink w:anchor="page60">
              <w:r>
                <w:rPr>
                  <w:rFonts w:ascii="Arial" w:cs="Arial" w:eastAsia="Arial" w:hAnsi="Arial"/>
                  <w:sz w:val="14"/>
                  <w:szCs w:val="14"/>
                  <w:color w:val="0000FF"/>
                </w:rPr>
                <w:t>Item 1. Legal Proceedings</w:t>
              </w:r>
            </w:hyperlink>
          </w:p>
        </w:tc>
        <w:tc>
          <w:tcPr>
            <w:tcW w:w="900" w:type="dxa"/>
            <w:vAlign w:val="bottom"/>
          </w:tcPr>
          <w:p>
            <w:pPr>
              <w:ind w:left="740"/>
              <w:spacing w:after="0" w:line="150" w:lineRule="exact"/>
              <w:rPr>
                <w:sz w:val="20"/>
                <w:szCs w:val="20"/>
                <w:color w:val="auto"/>
              </w:rPr>
            </w:pPr>
            <w:r>
              <w:rPr>
                <w:rFonts w:ascii="Arial" w:cs="Arial" w:eastAsia="Arial" w:hAnsi="Arial"/>
                <w:sz w:val="14"/>
                <w:szCs w:val="14"/>
                <w:color w:val="auto"/>
                <w:w w:val="89"/>
              </w:rPr>
              <w:t>60</w:t>
            </w:r>
          </w:p>
        </w:tc>
      </w:tr>
      <w:tr>
        <w:trPr>
          <w:trHeight w:val="161"/>
        </w:trPr>
        <w:tc>
          <w:tcPr>
            <w:tcW w:w="80" w:type="dxa"/>
            <w:vAlign w:val="bottom"/>
          </w:tcPr>
          <w:p>
            <w:pPr>
              <w:spacing w:after="0"/>
              <w:rPr>
                <w:sz w:val="14"/>
                <w:szCs w:val="14"/>
                <w:color w:val="auto"/>
              </w:rPr>
            </w:pPr>
          </w:p>
        </w:tc>
        <w:tc>
          <w:tcPr>
            <w:tcW w:w="1500" w:type="dxa"/>
            <w:vAlign w:val="bottom"/>
            <w:tcBorders>
              <w:top w:val="single" w:sz="8" w:color="0000FF"/>
            </w:tcBorders>
            <w:gridSpan w:val="12"/>
          </w:tcPr>
          <w:p>
            <w:pPr>
              <w:spacing w:after="0"/>
              <w:rPr>
                <w:rFonts w:ascii="Arial" w:cs="Arial" w:eastAsia="Arial" w:hAnsi="Arial"/>
                <w:sz w:val="14"/>
                <w:szCs w:val="14"/>
                <w:color w:val="0000FF"/>
              </w:rPr>
            </w:pPr>
            <w:hyperlink w:anchor="page60">
              <w:r>
                <w:rPr>
                  <w:rFonts w:ascii="Arial" w:cs="Arial" w:eastAsia="Arial" w:hAnsi="Arial"/>
                  <w:sz w:val="14"/>
                  <w:szCs w:val="14"/>
                  <w:color w:val="0000FF"/>
                </w:rPr>
                <w:t>Item 1A. Risk Factors</w:t>
              </w:r>
            </w:hyperlink>
          </w:p>
        </w:tc>
        <w:tc>
          <w:tcPr>
            <w:tcW w:w="4780" w:type="dxa"/>
            <w:vAlign w:val="bottom"/>
            <w:gridSpan w:val="26"/>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60</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2680" w:type="dxa"/>
            <w:vAlign w:val="bottom"/>
            <w:tcBorders>
              <w:left w:val="single" w:sz="8" w:color="0000FF"/>
            </w:tcBorders>
            <w:gridSpan w:val="27"/>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3900" w:type="dxa"/>
            <w:vAlign w:val="bottom"/>
            <w:tcBorders>
              <w:bottom w:val="single" w:sz="8" w:color="0000FF"/>
            </w:tcBorders>
            <w:gridSpan w:val="34"/>
          </w:tcPr>
          <w:p>
            <w:pPr>
              <w:spacing w:after="0"/>
              <w:rPr>
                <w:rFonts w:ascii="Arial" w:cs="Arial" w:eastAsia="Arial" w:hAnsi="Arial"/>
                <w:sz w:val="14"/>
                <w:szCs w:val="14"/>
                <w:color w:val="0000FF"/>
                <w:w w:val="91"/>
              </w:rPr>
            </w:pPr>
            <w:hyperlink w:anchor="page61">
              <w:r>
                <w:rPr>
                  <w:rFonts w:ascii="Arial" w:cs="Arial" w:eastAsia="Arial" w:hAnsi="Arial"/>
                  <w:sz w:val="14"/>
                  <w:szCs w:val="14"/>
                  <w:color w:val="0000FF"/>
                  <w:w w:val="91"/>
                </w:rPr>
                <w:t>Item 2. Unregistered Sales of Equity Securities and Use of Proceeds</w:t>
              </w:r>
            </w:hyperlink>
          </w:p>
        </w:tc>
        <w:tc>
          <w:tcPr>
            <w:tcW w:w="2380" w:type="dxa"/>
            <w:vAlign w:val="bottom"/>
            <w:gridSpan w:val="4"/>
          </w:tcPr>
          <w:p>
            <w:pPr>
              <w:spacing w:after="0"/>
              <w:rPr>
                <w:sz w:val="14"/>
                <w:szCs w:val="14"/>
                <w:color w:val="auto"/>
              </w:rPr>
            </w:pPr>
          </w:p>
        </w:tc>
        <w:tc>
          <w:tcPr>
            <w:tcW w:w="900" w:type="dxa"/>
            <w:vAlign w:val="bottom"/>
          </w:tcPr>
          <w:p>
            <w:pPr>
              <w:ind w:left="740"/>
              <w:spacing w:after="0"/>
              <w:rPr>
                <w:sz w:val="20"/>
                <w:szCs w:val="20"/>
                <w:color w:val="auto"/>
              </w:rPr>
            </w:pPr>
            <w:r>
              <w:rPr>
                <w:rFonts w:ascii="Arial" w:cs="Arial" w:eastAsia="Arial" w:hAnsi="Arial"/>
                <w:sz w:val="14"/>
                <w:szCs w:val="14"/>
                <w:color w:val="auto"/>
                <w:w w:val="89"/>
              </w:rPr>
              <w:t>61</w:t>
            </w:r>
          </w:p>
        </w:tc>
      </w:tr>
      <w:tr>
        <w:trPr>
          <w:trHeight w:val="161"/>
        </w:trPr>
        <w:tc>
          <w:tcPr>
            <w:tcW w:w="80" w:type="dxa"/>
            <w:vAlign w:val="bottom"/>
          </w:tcPr>
          <w:p>
            <w:pPr>
              <w:spacing w:after="0"/>
              <w:rPr>
                <w:sz w:val="14"/>
                <w:szCs w:val="14"/>
                <w:color w:val="auto"/>
              </w:rPr>
            </w:pPr>
          </w:p>
        </w:tc>
        <w:tc>
          <w:tcPr>
            <w:tcW w:w="6280" w:type="dxa"/>
            <w:vAlign w:val="bottom"/>
            <w:gridSpan w:val="38"/>
          </w:tcPr>
          <w:p>
            <w:pPr>
              <w:spacing w:after="0"/>
              <w:rPr>
                <w:rFonts w:ascii="Arial" w:cs="Arial" w:eastAsia="Arial" w:hAnsi="Arial"/>
                <w:sz w:val="14"/>
                <w:szCs w:val="14"/>
                <w:color w:val="0000FF"/>
              </w:rPr>
            </w:pPr>
            <w:hyperlink w:anchor="page62">
              <w:r>
                <w:rPr>
                  <w:rFonts w:ascii="Arial" w:cs="Arial" w:eastAsia="Arial" w:hAnsi="Arial"/>
                  <w:sz w:val="14"/>
                  <w:szCs w:val="14"/>
                  <w:color w:val="0000FF"/>
                </w:rPr>
                <w:t>Item 6. Exhibit Index</w:t>
              </w:r>
            </w:hyperlink>
          </w:p>
        </w:tc>
        <w:tc>
          <w:tcPr>
            <w:tcW w:w="900" w:type="dxa"/>
            <w:vAlign w:val="bottom"/>
          </w:tcPr>
          <w:p>
            <w:pPr>
              <w:ind w:left="740"/>
              <w:spacing w:after="0"/>
              <w:rPr>
                <w:sz w:val="20"/>
                <w:szCs w:val="20"/>
                <w:color w:val="auto"/>
              </w:rPr>
            </w:pPr>
            <w:r>
              <w:rPr>
                <w:rFonts w:ascii="Arial" w:cs="Arial" w:eastAsia="Arial" w:hAnsi="Arial"/>
                <w:sz w:val="14"/>
                <w:szCs w:val="14"/>
                <w:color w:val="auto"/>
                <w:w w:val="89"/>
              </w:rPr>
              <w:t>62</w:t>
            </w:r>
          </w:p>
        </w:tc>
      </w:tr>
      <w:tr>
        <w:trPr>
          <w:trHeight w:val="20"/>
        </w:trPr>
        <w:tc>
          <w:tcPr>
            <w:tcW w:w="8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60" w:type="dxa"/>
            <w:vAlign w:val="bottom"/>
            <w:gridSpan w:val="3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1"/>
        </w:trPr>
        <w:tc>
          <w:tcPr>
            <w:tcW w:w="6360" w:type="dxa"/>
            <w:vAlign w:val="bottom"/>
            <w:gridSpan w:val="39"/>
          </w:tcPr>
          <w:p>
            <w:pPr>
              <w:spacing w:after="0"/>
              <w:rPr>
                <w:rFonts w:ascii="Arial" w:cs="Arial" w:eastAsia="Arial" w:hAnsi="Arial"/>
                <w:sz w:val="14"/>
                <w:szCs w:val="14"/>
                <w:color w:val="0000FF"/>
              </w:rPr>
            </w:pPr>
            <w:hyperlink w:anchor="page63">
              <w:r>
                <w:rPr>
                  <w:rFonts w:ascii="Arial" w:cs="Arial" w:eastAsia="Arial" w:hAnsi="Arial"/>
                  <w:sz w:val="14"/>
                  <w:szCs w:val="14"/>
                  <w:color w:val="0000FF"/>
                </w:rPr>
                <w:t>Signature</w:t>
              </w:r>
            </w:hyperlink>
          </w:p>
        </w:tc>
        <w:tc>
          <w:tcPr>
            <w:tcW w:w="900" w:type="dxa"/>
            <w:vAlign w:val="bottom"/>
          </w:tcPr>
          <w:p>
            <w:pPr>
              <w:ind w:left="740"/>
              <w:spacing w:after="0"/>
              <w:rPr>
                <w:sz w:val="20"/>
                <w:szCs w:val="20"/>
                <w:color w:val="auto"/>
              </w:rPr>
            </w:pPr>
            <w:r>
              <w:rPr>
                <w:rFonts w:ascii="Arial" w:cs="Arial" w:eastAsia="Arial" w:hAnsi="Arial"/>
                <w:sz w:val="14"/>
                <w:szCs w:val="14"/>
                <w:color w:val="auto"/>
                <w:w w:val="89"/>
              </w:rPr>
              <w:t>63</w:t>
            </w:r>
          </w:p>
        </w:tc>
      </w:tr>
      <w:tr>
        <w:trPr>
          <w:trHeight w:val="20"/>
        </w:trPr>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859" w:right="1440" w:bottom="1440" w:gutter="0" w:footer="0" w:header="0"/>
        </w:sectPr>
      </w:pPr>
    </w:p>
    <w:bookmarkStart w:id="2" w:name="page3"/>
    <w:bookmarkEnd w:id="2"/>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1"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Forward-Looking Information</w:t>
      </w:r>
    </w:p>
    <w:p>
      <w:pPr>
        <w:spacing w:after="0" w:line="182" w:lineRule="exact"/>
        <w:rPr>
          <w:sz w:val="20"/>
          <w:szCs w:val="20"/>
          <w:color w:val="auto"/>
        </w:rPr>
      </w:pPr>
    </w:p>
    <w:p>
      <w:pPr>
        <w:ind w:left="680" w:right="559" w:firstLine="384"/>
        <w:spacing w:after="0" w:line="297" w:lineRule="auto"/>
        <w:rPr>
          <w:sz w:val="20"/>
          <w:szCs w:val="20"/>
          <w:color w:val="auto"/>
        </w:rPr>
      </w:pPr>
      <w:r>
        <w:rPr>
          <w:rFonts w:ascii="Arial" w:cs="Arial" w:eastAsia="Arial" w:hAnsi="Arial"/>
          <w:sz w:val="14"/>
          <w:szCs w:val="14"/>
          <w:color w:val="auto"/>
        </w:rPr>
        <w:t>This report may contain forward-looking statements that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w:t>
      </w:r>
    </w:p>
    <w:p>
      <w:pPr>
        <w:spacing w:after="0" w:line="113" w:lineRule="exact"/>
        <w:rPr>
          <w:sz w:val="20"/>
          <w:szCs w:val="20"/>
          <w:color w:val="auto"/>
        </w:rPr>
      </w:pPr>
    </w:p>
    <w:p>
      <w:pPr>
        <w:ind w:left="680" w:right="539" w:firstLine="384"/>
        <w:spacing w:after="0" w:line="318" w:lineRule="auto"/>
        <w:rPr>
          <w:sz w:val="20"/>
          <w:szCs w:val="20"/>
          <w:color w:val="auto"/>
        </w:rPr>
      </w:pPr>
      <w:r>
        <w:rPr>
          <w:rFonts w:ascii="Arial" w:cs="Arial" w:eastAsia="Arial" w:hAnsi="Arial"/>
          <w:sz w:val="13"/>
          <w:szCs w:val="13"/>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 Such possible events or factors include: risks associated with the current outbreak of the novel coronavirus, or the COVID-19 pandemic, changes in economic conditions in the Company’s market area, changes in policies by regulatory agencies, governmental legislation and regulation, fluctuations in interest rates, changes in liquidity requirements, demand for loans in the Company’s market area, changes in accounting and tax principles, estimates made on income taxes, competition with other entities that offer financial services, cybersecurity threats, and such other factors as discussed in our Annual Report on Form 10-K for the fiscal year ended December 31, 2020, filed with the Securities and Exchange Commission (“SEC”) on February 26, 2021, any subsequent quarterly report on Form 10-Q as well as in our other filings with the SEC.</w:t>
      </w:r>
    </w:p>
    <w:p>
      <w:pPr>
        <w:spacing w:after="0" w:line="103" w:lineRule="exact"/>
        <w:rPr>
          <w:sz w:val="20"/>
          <w:szCs w:val="20"/>
          <w:color w:val="auto"/>
        </w:rPr>
      </w:pPr>
    </w:p>
    <w:p>
      <w:pPr>
        <w:ind w:left="680" w:right="579" w:firstLine="384"/>
        <w:spacing w:after="0" w:line="301" w:lineRule="auto"/>
        <w:rPr>
          <w:sz w:val="20"/>
          <w:szCs w:val="20"/>
          <w:color w:val="auto"/>
        </w:rPr>
      </w:pPr>
      <w:r>
        <w:rPr>
          <w:rFonts w:ascii="Arial" w:cs="Arial" w:eastAsia="Arial" w:hAnsi="Arial"/>
          <w:sz w:val="14"/>
          <w:szCs w:val="14"/>
          <w:color w:val="auto"/>
        </w:rPr>
        <w:t>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406" w:right="1440" w:bottom="1440" w:gutter="0" w:footer="0" w:header="0"/>
        </w:sectPr>
      </w:pPr>
    </w:p>
    <w:bookmarkStart w:id="3" w:name="page4"/>
    <w:bookmarkEnd w:id="3"/>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PART I - FINANCIAL INFORMATION</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ITEM 1. FINANCIAL STATEMENTS</w:t>
      </w:r>
    </w:p>
    <w:p>
      <w:pPr>
        <w:spacing w:after="0" w:line="3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CONSOLIDATED BALANCE SHEETS</w:t>
      </w:r>
    </w:p>
    <w:p>
      <w:pPr>
        <w:spacing w:after="0" w:line="62" w:lineRule="exact"/>
        <w:rPr>
          <w:sz w:val="20"/>
          <w:szCs w:val="20"/>
          <w:color w:val="auto"/>
        </w:rPr>
      </w:pPr>
    </w:p>
    <w:p>
      <w:pPr>
        <w:jc w:val="right"/>
        <w:ind w:right="699"/>
        <w:spacing w:after="0"/>
        <w:tabs>
          <w:tab w:leader="none" w:pos="1120" w:val="left"/>
        </w:tabs>
        <w:rPr>
          <w:sz w:val="20"/>
          <w:szCs w:val="20"/>
          <w:color w:val="auto"/>
        </w:rPr>
      </w:pP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2"/>
          <w:szCs w:val="12"/>
          <w:b w:val="1"/>
          <w:bCs w:val="1"/>
          <w:color w:val="auto"/>
        </w:rPr>
        <w:t>December 31, 2020</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(Unaudited)</w:t>
      </w:r>
    </w:p>
    <w:p>
      <w:pPr>
        <w:spacing w:after="0" w:line="89" w:lineRule="exact"/>
        <w:rPr>
          <w:sz w:val="20"/>
          <w:szCs w:val="20"/>
          <w:color w:val="auto"/>
        </w:rPr>
      </w:pPr>
    </w:p>
    <w:p>
      <w:pPr>
        <w:ind w:left="6400"/>
        <w:spacing w:after="0"/>
        <w:rPr>
          <w:sz w:val="20"/>
          <w:szCs w:val="20"/>
          <w:color w:val="auto"/>
        </w:rPr>
      </w:pPr>
      <w:r>
        <w:rPr>
          <w:rFonts w:ascii="Arial" w:cs="Arial" w:eastAsia="Arial" w:hAnsi="Arial"/>
          <w:sz w:val="13"/>
          <w:szCs w:val="13"/>
          <w:i w:val="1"/>
          <w:iCs w:val="1"/>
          <w:color w:val="auto"/>
        </w:rPr>
        <w:t>(Dollars in thousands)</w:t>
      </w:r>
    </w:p>
    <w:p>
      <w:pPr>
        <w:sectPr>
          <w:pgSz w:w="11900" w:h="16838" w:orient="portrait"/>
          <w:cols w:equalWidth="0" w:num="1">
            <w:col w:w="9019"/>
          </w:cols>
          <w:pgMar w:left="1440" w:top="406" w:right="1440" w:bottom="1440" w:gutter="0" w:footer="0" w:header="0"/>
        </w:sectPr>
      </w:pP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960" w:type="dxa"/>
            <w:vAlign w:val="bottom"/>
            <w:gridSpan w:val="2"/>
          </w:tcPr>
          <w:p>
            <w:pPr>
              <w:ind w:left="10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Available-for-sale securities - taxable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960" w:type="dxa"/>
            <w:vAlign w:val="bottom"/>
            <w:gridSpan w:val="2"/>
          </w:tcPr>
          <w:p>
            <w:pPr>
              <w:ind w:left="100"/>
              <w:spacing w:after="0"/>
              <w:rPr>
                <w:sz w:val="20"/>
                <w:szCs w:val="20"/>
                <w:color w:val="auto"/>
              </w:rPr>
            </w:pPr>
            <w:r>
              <w:rPr>
                <w:rFonts w:ascii="Arial" w:cs="Arial" w:eastAsia="Arial" w:hAnsi="Arial"/>
                <w:sz w:val="14"/>
                <w:szCs w:val="14"/>
                <w:color w:val="auto"/>
              </w:rPr>
              <w:t>Available-for-sale securities - tax-exempt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0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vMerge w:val="continue"/>
          </w:tcPr>
          <w:p>
            <w:pPr>
              <w:spacing w:after="0"/>
              <w:rPr>
                <w:sz w:val="13"/>
                <w:szCs w:val="13"/>
                <w:color w:val="auto"/>
              </w:rPr>
            </w:pPr>
          </w:p>
        </w:tc>
        <w:tc>
          <w:tcPr>
            <w:tcW w:w="486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5"/>
              </w:rPr>
              <w:t>Loans, net of allowance for loan losses of $64,152 and $75,295 at September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2021 and December 31, 2020, respectively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960" w:type="dxa"/>
            <w:vAlign w:val="bottom"/>
            <w:gridSpan w:val="2"/>
          </w:tcPr>
          <w:p>
            <w:pPr>
              <w:ind w:left="100"/>
              <w:spacing w:after="0"/>
              <w:rPr>
                <w:sz w:val="20"/>
                <w:szCs w:val="20"/>
                <w:color w:val="auto"/>
              </w:rPr>
            </w:pPr>
            <w:r>
              <w:rPr>
                <w:rFonts w:ascii="Arial" w:cs="Arial" w:eastAsia="Arial" w:hAnsi="Arial"/>
                <w:sz w:val="14"/>
                <w:szCs w:val="14"/>
                <w:color w:val="auto"/>
              </w:rPr>
              <w:t>Premises and equipment, net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Restricted equity securities</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960" w:type="dxa"/>
            <w:vAlign w:val="bottom"/>
            <w:gridSpan w:val="2"/>
          </w:tcPr>
          <w:p>
            <w:pPr>
              <w:ind w:left="100"/>
              <w:spacing w:after="0"/>
              <w:rPr>
                <w:sz w:val="20"/>
                <w:szCs w:val="20"/>
                <w:color w:val="auto"/>
              </w:rPr>
            </w:pPr>
            <w:r>
              <w:rPr>
                <w:rFonts w:ascii="Arial" w:cs="Arial" w:eastAsia="Arial" w:hAnsi="Arial"/>
                <w:sz w:val="14"/>
                <w:szCs w:val="14"/>
                <w:color w:val="auto"/>
              </w:rPr>
              <w:t>Interest receivable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Foreclosed assets held for sale</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960" w:type="dxa"/>
            <w:vAlign w:val="bottom"/>
            <w:gridSpan w:val="2"/>
          </w:tcPr>
          <w:p>
            <w:pPr>
              <w:ind w:left="100"/>
              <w:spacing w:after="0"/>
              <w:rPr>
                <w:sz w:val="20"/>
                <w:szCs w:val="20"/>
                <w:color w:val="auto"/>
              </w:rPr>
            </w:pPr>
            <w:r>
              <w:rPr>
                <w:rFonts w:ascii="Arial" w:cs="Arial" w:eastAsia="Arial" w:hAnsi="Arial"/>
                <w:sz w:val="14"/>
                <w:szCs w:val="14"/>
                <w:color w:val="auto"/>
              </w:rPr>
              <w:t>Bank-owned life insurance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86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Liabilities and stockholders’ equity</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Deposits</w:t>
      </w:r>
    </w:p>
    <w:p>
      <w:pPr>
        <w:spacing w:after="0" w:line="10" w:lineRule="exact"/>
        <w:rPr>
          <w:sz w:val="20"/>
          <w:szCs w:val="20"/>
          <w:color w:val="auto"/>
        </w:rPr>
      </w:pPr>
    </w:p>
    <w:p>
      <w:pPr>
        <w:ind w:left="720"/>
        <w:spacing w:after="0"/>
        <w:tabs>
          <w:tab w:leader="none" w:pos="5480" w:val="left"/>
        </w:tabs>
        <w:rPr>
          <w:sz w:val="20"/>
          <w:szCs w:val="20"/>
          <w:color w:val="auto"/>
        </w:rPr>
      </w:pPr>
      <w:r>
        <w:rPr>
          <w:rFonts w:ascii="Arial" w:cs="Arial" w:eastAsia="Arial" w:hAnsi="Arial"/>
          <w:sz w:val="14"/>
          <w:szCs w:val="14"/>
          <w:color w:val="auto"/>
        </w:rPr>
        <w:t>Noninterest-bearing</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Savings, NOW and money market</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Time</w:t>
      </w:r>
    </w:p>
    <w:p>
      <w:pPr>
        <w:spacing w:after="0" w:line="20" w:lineRule="exact"/>
        <w:rPr>
          <w:sz w:val="20"/>
          <w:szCs w:val="20"/>
          <w:color w:val="auto"/>
        </w:rPr>
      </w:pPr>
    </w:p>
    <w:p>
      <w:pPr>
        <w:ind w:left="820"/>
        <w:spacing w:after="0"/>
        <w:rPr>
          <w:sz w:val="20"/>
          <w:szCs w:val="20"/>
          <w:color w:val="auto"/>
        </w:rPr>
      </w:pPr>
      <w:r>
        <w:rPr>
          <w:rFonts w:ascii="Arial" w:cs="Arial" w:eastAsia="Arial" w:hAnsi="Arial"/>
          <w:sz w:val="14"/>
          <w:szCs w:val="14"/>
          <w:color w:val="auto"/>
        </w:rPr>
        <w:t>Total deposits</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Federal funds purchased and repurchase agreements</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Federal Home Loan Bank advances</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Other borrowings</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Interest payable and other liabilities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Stockholders’ equity</w:t>
      </w:r>
    </w:p>
    <w:p>
      <w:pPr>
        <w:spacing w:after="0" w:line="3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Common stock, $0.01 par value:</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authorized - 200,000,000 shares, issued - 52,576,504 and 52,289,129 shares at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September 30, 2021 and December 31, 2020, respectively</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Treasury stock, at cost:</w:t>
      </w:r>
    </w:p>
    <w:p>
      <w:pPr>
        <w:spacing w:after="0" w:line="31" w:lineRule="exact"/>
        <w:rPr>
          <w:sz w:val="20"/>
          <w:szCs w:val="20"/>
          <w:color w:val="auto"/>
        </w:rPr>
      </w:pPr>
    </w:p>
    <w:p>
      <w:pPr>
        <w:ind w:left="720" w:right="160"/>
        <w:spacing w:after="0" w:line="262" w:lineRule="auto"/>
        <w:rPr>
          <w:sz w:val="20"/>
          <w:szCs w:val="20"/>
          <w:color w:val="auto"/>
        </w:rPr>
      </w:pPr>
      <w:r>
        <w:rPr>
          <w:rFonts w:ascii="Arial" w:cs="Arial" w:eastAsia="Arial" w:hAnsi="Arial"/>
          <w:sz w:val="14"/>
          <w:szCs w:val="14"/>
          <w:color w:val="auto"/>
        </w:rPr>
        <w:t>1,573,806 and 609,613 shares held at September 30, 2021 and December 31, 2020, respectively</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2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80" w:type="dxa"/>
            <w:vAlign w:val="bottom"/>
          </w:tcPr>
          <w:p>
            <w:pPr>
              <w:jc w:val="right"/>
              <w:spacing w:after="0"/>
              <w:rPr>
                <w:sz w:val="20"/>
                <w:szCs w:val="20"/>
                <w:color w:val="auto"/>
              </w:rPr>
            </w:pPr>
            <w:r>
              <w:rPr>
                <w:rFonts w:ascii="Arial" w:cs="Arial" w:eastAsia="Arial" w:hAnsi="Arial"/>
                <w:sz w:val="14"/>
                <w:szCs w:val="14"/>
                <w:color w:val="auto"/>
              </w:rPr>
              <w:t>316,722</w:t>
            </w:r>
          </w:p>
        </w:tc>
        <w:tc>
          <w:tcPr>
            <w:tcW w:w="12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408,810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80" w:type="dxa"/>
            <w:vAlign w:val="bottom"/>
          </w:tcPr>
          <w:p>
            <w:pPr>
              <w:jc w:val="right"/>
              <w:spacing w:after="0"/>
              <w:rPr>
                <w:sz w:val="20"/>
                <w:szCs w:val="20"/>
                <w:color w:val="auto"/>
              </w:rPr>
            </w:pPr>
            <w:r>
              <w:rPr>
                <w:rFonts w:ascii="Arial" w:cs="Arial" w:eastAsia="Arial" w:hAnsi="Arial"/>
                <w:sz w:val="14"/>
                <w:szCs w:val="14"/>
                <w:color w:val="auto"/>
              </w:rPr>
              <w:t>539,924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477,350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4,168,965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4,366,602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66,598</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70,509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15,928</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17,236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67,104</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67,498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43,695</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280" w:type="dxa"/>
            <w:vAlign w:val="bottom"/>
          </w:tcPr>
          <w:p>
            <w:pPr>
              <w:jc w:val="right"/>
              <w:spacing w:after="0"/>
              <w:rPr>
                <w:sz w:val="20"/>
                <w:szCs w:val="20"/>
                <w:color w:val="auto"/>
              </w:rPr>
            </w:pPr>
            <w:r>
              <w:rPr>
                <w:rFonts w:ascii="Arial" w:cs="Arial" w:eastAsia="Arial" w:hAnsi="Arial"/>
                <w:sz w:val="14"/>
                <w:szCs w:val="14"/>
                <w:color w:val="auto"/>
              </w:rPr>
              <w:t>5,401,151</w:t>
            </w:r>
          </w:p>
        </w:tc>
        <w:tc>
          <w:tcPr>
            <w:tcW w:w="120" w:type="dxa"/>
            <w:vAlign w:val="bottom"/>
          </w:tcPr>
          <w:p>
            <w:pPr>
              <w:spacing w:after="0"/>
              <w:rPr>
                <w:sz w:val="17"/>
                <w:szCs w:val="17"/>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5,659,303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Borders>
              <w:right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vMerge w:val="restart"/>
          </w:tcPr>
          <w:p>
            <w:pPr>
              <w:jc w:val="right"/>
              <w:ind w:right="9"/>
              <w:spacing w:after="0"/>
              <w:rPr>
                <w:sz w:val="20"/>
                <w:szCs w:val="20"/>
                <w:color w:val="auto"/>
              </w:rPr>
            </w:pPr>
            <w:r>
              <w:rPr>
                <w:rFonts w:ascii="Arial" w:cs="Arial" w:eastAsia="Arial" w:hAnsi="Arial"/>
                <w:sz w:val="10"/>
                <w:szCs w:val="10"/>
                <w:color w:val="auto"/>
                <w:w w:val="71"/>
              </w:rPr>
              <w:t>$</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960,999</w:t>
            </w: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718,459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280" w:type="dxa"/>
            <w:vAlign w:val="bottom"/>
          </w:tcPr>
          <w:p>
            <w:pPr>
              <w:jc w:val="right"/>
              <w:spacing w:after="0"/>
              <w:rPr>
                <w:sz w:val="20"/>
                <w:szCs w:val="20"/>
                <w:color w:val="auto"/>
              </w:rPr>
            </w:pPr>
            <w:r>
              <w:rPr>
                <w:rFonts w:ascii="Arial" w:cs="Arial" w:eastAsia="Arial" w:hAnsi="Arial"/>
                <w:sz w:val="14"/>
                <w:szCs w:val="14"/>
                <w:color w:val="auto"/>
              </w:rPr>
              <w:t>2,774,477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2,932,799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8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701,121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1,043,482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80" w:type="dxa"/>
            <w:vAlign w:val="bottom"/>
          </w:tcPr>
          <w:p>
            <w:pPr>
              <w:jc w:val="right"/>
              <w:spacing w:after="0"/>
              <w:rPr>
                <w:sz w:val="20"/>
                <w:szCs w:val="20"/>
                <w:color w:val="auto"/>
              </w:rPr>
            </w:pPr>
            <w:r>
              <w:rPr>
                <w:rFonts w:ascii="Arial" w:cs="Arial" w:eastAsia="Arial" w:hAnsi="Arial"/>
                <w:sz w:val="14"/>
                <w:szCs w:val="14"/>
                <w:color w:val="auto"/>
              </w:rPr>
              <w:t>4,436,597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4,694,740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80" w:type="dxa"/>
            <w:vAlign w:val="bottom"/>
          </w:tcPr>
          <w:p>
            <w:pPr>
              <w:jc w:val="right"/>
              <w:spacing w:after="0"/>
              <w:rPr>
                <w:sz w:val="20"/>
                <w:szCs w:val="20"/>
                <w:color w:val="auto"/>
              </w:rPr>
            </w:pPr>
            <w:r>
              <w:rPr>
                <w:rFonts w:ascii="Arial" w:cs="Arial" w:eastAsia="Arial" w:hAnsi="Arial"/>
                <w:sz w:val="14"/>
                <w:szCs w:val="14"/>
                <w:color w:val="auto"/>
              </w:rPr>
              <w:t>276,600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293,100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34,550</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4,748,744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5,034,875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00" w:type="dxa"/>
            <w:vAlign w:val="bottom"/>
            <w:tcBorders>
              <w:right w:val="single" w:sz="8" w:color="CCEEFF"/>
            </w:tcBorders>
            <w:gridSpan w:val="2"/>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400" w:type="dxa"/>
            <w:vAlign w:val="bottom"/>
            <w:tcBorders>
              <w:right w:val="single" w:sz="8" w:color="CCEEFF"/>
            </w:tcBorders>
            <w:gridSpan w:val="2"/>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(6,061)</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525,676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522,911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80" w:type="dxa"/>
            <w:vAlign w:val="bottom"/>
          </w:tcPr>
          <w:p>
            <w:pPr>
              <w:jc w:val="right"/>
              <w:spacing w:after="0"/>
              <w:rPr>
                <w:sz w:val="20"/>
                <w:szCs w:val="20"/>
                <w:color w:val="auto"/>
              </w:rPr>
            </w:pPr>
            <w:r>
              <w:rPr>
                <w:rFonts w:ascii="Arial" w:cs="Arial" w:eastAsia="Arial" w:hAnsi="Arial"/>
                <w:sz w:val="14"/>
                <w:szCs w:val="14"/>
                <w:color w:val="auto"/>
              </w:rPr>
              <w:t>126,299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77,652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2">
            <w:col w:w="5620" w:space="0"/>
            <w:col w:w="3399"/>
          </w:cols>
          <w:pgMar w:left="1440" w:top="406" w:right="1440" w:bottom="1440" w:gutter="0" w:footer="0" w:header="0"/>
          <w:type w:val="continuous"/>
        </w:sectPr>
      </w:pPr>
    </w:p>
    <w:tbl>
      <w:tblPr>
        <w:tblLayout w:type="fixed"/>
        <w:tblInd w:w="540" w:type="dxa"/>
        <w:tblCellMar>
          <w:top w:w="0" w:type="dxa"/>
          <w:left w:w="0" w:type="dxa"/>
          <w:bottom w:w="0" w:type="dxa"/>
          <w:right w:w="0" w:type="dxa"/>
        </w:tblCellMar>
      </w:tblPr>
      <w:tr>
        <w:trPr>
          <w:trHeight w:val="161"/>
        </w:trPr>
        <w:tc>
          <w:tcPr>
            <w:tcW w:w="4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Accumulated other comprehensive income</w:t>
            </w: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19,906</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29,403</w:t>
            </w:r>
          </w:p>
        </w:tc>
      </w:tr>
      <w:tr>
        <w:trPr>
          <w:trHeight w:val="172"/>
        </w:trPr>
        <w:tc>
          <w:tcPr>
            <w:tcW w:w="496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652,407</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624,428</w:t>
            </w:r>
          </w:p>
        </w:tc>
      </w:tr>
      <w:tr>
        <w:trPr>
          <w:trHeight w:val="172"/>
        </w:trPr>
        <w:tc>
          <w:tcPr>
            <w:tcW w:w="49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5,401,151</w:t>
            </w: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5,659,303</w:t>
            </w:r>
          </w:p>
        </w:tc>
      </w:tr>
      <w:tr>
        <w:trPr>
          <w:trHeight w:val="20"/>
        </w:trPr>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406" w:right="1440" w:bottom="1440" w:gutter="0" w:footer="0" w:header="0"/>
          <w:type w:val="continuous"/>
        </w:sectPr>
      </w:pPr>
    </w:p>
    <w:bookmarkStart w:id="4" w:name="page5"/>
    <w:bookmarkEnd w:id="4"/>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CONSOLIDATED STATEMENTS OF INCOME - UNAUDITED</w:t>
      </w:r>
    </w:p>
    <w:p>
      <w:pPr>
        <w:spacing w:after="0" w:line="62" w:lineRule="exact"/>
        <w:rPr>
          <w:sz w:val="20"/>
          <w:szCs w:val="20"/>
          <w:color w:val="auto"/>
        </w:rPr>
      </w:pPr>
    </w:p>
    <w:tbl>
      <w:tblPr>
        <w:tblLayout w:type="fixed"/>
        <w:tblInd w:w="540" w:type="dxa"/>
        <w:tblCellMar>
          <w:top w:w="0" w:type="dxa"/>
          <w:left w:w="0" w:type="dxa"/>
          <w:bottom w:w="0" w:type="dxa"/>
          <w:right w:w="0" w:type="dxa"/>
        </w:tblCellMar>
      </w:tblPr>
      <w:tr>
        <w:trPr>
          <w:trHeight w:val="181"/>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jc w:val="right"/>
              <w:ind w:right="249"/>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jc w:val="right"/>
              <w:ind w:right="26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69"/>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4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12"/>
          </w:tcPr>
          <w:p>
            <w:pPr>
              <w:jc w:val="right"/>
              <w:spacing w:after="0"/>
              <w:rPr>
                <w:sz w:val="20"/>
                <w:szCs w:val="20"/>
                <w:color w:val="auto"/>
              </w:rPr>
            </w:pPr>
            <w:r>
              <w:rPr>
                <w:rFonts w:ascii="Arial" w:cs="Arial" w:eastAsia="Arial" w:hAnsi="Arial"/>
                <w:sz w:val="13"/>
                <w:szCs w:val="13"/>
                <w:i w:val="1"/>
                <w:iCs w:val="1"/>
                <w:color w:val="auto"/>
              </w:rPr>
              <w:t>(Dollars in thousands except per share data)</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Loans, including fees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42,664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43,929</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130,268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138,591</w:t>
            </w: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Available-for-sale securities - taxable</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4,174</w:t>
            </w:r>
          </w:p>
        </w:tc>
        <w:tc>
          <w:tcPr>
            <w:tcW w:w="0" w:type="dxa"/>
            <w:vAlign w:val="bottom"/>
          </w:tcPr>
          <w:p>
            <w:pPr>
              <w:spacing w:after="0"/>
              <w:rPr>
                <w:sz w:val="1"/>
                <w:szCs w:val="1"/>
                <w:color w:val="auto"/>
              </w:rPr>
            </w:pPr>
          </w:p>
        </w:tc>
      </w:tr>
      <w:tr>
        <w:trPr>
          <w:trHeight w:val="181"/>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Available-for-sale securities - tax-exempt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3,562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3,186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10,410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9,758</w:t>
            </w: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Deposits with financial institutions</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Dividends on bank stocks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Total interest income</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48,452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143,948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153,914</w:t>
            </w:r>
          </w:p>
        </w:tc>
        <w:tc>
          <w:tcPr>
            <w:tcW w:w="0" w:type="dxa"/>
            <w:vAlign w:val="bottom"/>
          </w:tcPr>
          <w:p>
            <w:pPr>
              <w:spacing w:after="0"/>
              <w:rPr>
                <w:sz w:val="1"/>
                <w:szCs w:val="1"/>
                <w:color w:val="auto"/>
              </w:rPr>
            </w:pPr>
          </w:p>
        </w:tc>
      </w:tr>
      <w:tr>
        <w:trPr>
          <w:trHeight w:val="18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Interest Expense</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29,975</w:t>
            </w:r>
          </w:p>
        </w:tc>
        <w:tc>
          <w:tcPr>
            <w:tcW w:w="0" w:type="dxa"/>
            <w:vAlign w:val="bottom"/>
          </w:tcPr>
          <w:p>
            <w:pPr>
              <w:spacing w:after="0"/>
              <w:rPr>
                <w:sz w:val="1"/>
                <w:szCs w:val="1"/>
                <w:color w:val="auto"/>
              </w:rPr>
            </w:pPr>
          </w:p>
        </w:tc>
      </w:tr>
      <w:tr>
        <w:trPr>
          <w:trHeight w:val="181"/>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Fed funds purchased and repurchase agreements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Federal Home Loan Bank Advances</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4,980</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Other borrowings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3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Total interest expense</w:t>
            </w: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9,125</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18,702</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35,202</w:t>
            </w:r>
          </w:p>
        </w:tc>
        <w:tc>
          <w:tcPr>
            <w:tcW w:w="0" w:type="dxa"/>
            <w:vAlign w:val="bottom"/>
          </w:tcPr>
          <w:p>
            <w:pPr>
              <w:spacing w:after="0"/>
              <w:rPr>
                <w:sz w:val="1"/>
                <w:szCs w:val="1"/>
                <w:color w:val="auto"/>
              </w:rPr>
            </w:pPr>
          </w:p>
        </w:tc>
      </w:tr>
      <w:tr>
        <w:trPr>
          <w:trHeight w:val="172"/>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Net Interest Income</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41,801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39,327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125,246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118,712</w:t>
            </w:r>
          </w:p>
        </w:tc>
        <w:tc>
          <w:tcPr>
            <w:tcW w:w="0" w:type="dxa"/>
            <w:vAlign w:val="bottom"/>
          </w:tcPr>
          <w:p>
            <w:pPr>
              <w:spacing w:after="0"/>
              <w:rPr>
                <w:sz w:val="1"/>
                <w:szCs w:val="1"/>
                <w:color w:val="auto"/>
              </w:rPr>
            </w:pPr>
          </w:p>
        </w:tc>
      </w:tr>
      <w:tr>
        <w:trPr>
          <w:trHeight w:val="171"/>
        </w:trPr>
        <w:tc>
          <w:tcPr>
            <w:tcW w:w="40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Provision for Loan Losses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45,825</w:t>
            </w:r>
          </w:p>
        </w:tc>
        <w:tc>
          <w:tcPr>
            <w:tcW w:w="0" w:type="dxa"/>
            <w:vAlign w:val="bottom"/>
          </w:tcPr>
          <w:p>
            <w:pPr>
              <w:spacing w:after="0"/>
              <w:rPr>
                <w:sz w:val="1"/>
                <w:szCs w:val="1"/>
                <w:color w:val="auto"/>
              </w:rPr>
            </w:pPr>
          </w:p>
        </w:tc>
      </w:tr>
      <w:tr>
        <w:trPr>
          <w:trHeight w:val="163"/>
        </w:trPr>
        <w:tc>
          <w:tcPr>
            <w:tcW w:w="4000" w:type="dxa"/>
            <w:vAlign w:val="bottom"/>
            <w:tcBorders>
              <w:top w:val="single" w:sz="8" w:color="CCEEFF"/>
              <w:bottom w:val="single" w:sz="8" w:color="CCEEFF"/>
            </w:tcBorders>
            <w:gridSpan w:val="3"/>
          </w:tcPr>
          <w:p>
            <w:pPr>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51,801</w:t>
            </w:r>
          </w:p>
        </w:tc>
        <w:tc>
          <w:tcPr>
            <w:tcW w:w="6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28,452</w:t>
            </w:r>
          </w:p>
        </w:tc>
        <w:tc>
          <w:tcPr>
            <w:tcW w:w="6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124,246</w:t>
            </w:r>
          </w:p>
        </w:tc>
        <w:tc>
          <w:tcPr>
            <w:tcW w:w="6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72,887</w:t>
            </w:r>
          </w:p>
        </w:tc>
        <w:tc>
          <w:tcPr>
            <w:tcW w:w="0" w:type="dxa"/>
            <w:vAlign w:val="bottom"/>
          </w:tcPr>
          <w:p>
            <w:pPr>
              <w:spacing w:after="0"/>
              <w:rPr>
                <w:sz w:val="1"/>
                <w:szCs w:val="1"/>
                <w:color w:val="auto"/>
              </w:rPr>
            </w:pPr>
          </w:p>
        </w:tc>
      </w:tr>
      <w:tr>
        <w:trPr>
          <w:trHeight w:val="171"/>
        </w:trPr>
        <w:tc>
          <w:tcPr>
            <w:tcW w:w="40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Non-Interest Income (Loss)</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Service charges and fees on customer accounts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3,330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Realized gains on available-for-sale securities</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181"/>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Unrealized gains (losses), net on equity securities</w:t>
            </w: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(6,210)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(6,243)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from bank-owned life insurance</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81"/>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Swap fees and credit valuation adjustments, net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ATM and credit card interchange income</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2,863</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Other non-interest income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Total non-interest income (loss)</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8,792</w:t>
            </w:r>
          </w:p>
        </w:tc>
        <w:tc>
          <w:tcPr>
            <w:tcW w:w="0" w:type="dxa"/>
            <w:vAlign w:val="bottom"/>
          </w:tcPr>
          <w:p>
            <w:pPr>
              <w:spacing w:after="0"/>
              <w:rPr>
                <w:sz w:val="1"/>
                <w:szCs w:val="1"/>
                <w:color w:val="auto"/>
              </w:rPr>
            </w:pPr>
          </w:p>
        </w:tc>
      </w:tr>
      <w:tr>
        <w:trPr>
          <w:trHeight w:val="172"/>
        </w:trPr>
        <w:tc>
          <w:tcPr>
            <w:tcW w:w="4000" w:type="dxa"/>
            <w:vAlign w:val="bottom"/>
            <w:tcBorders>
              <w:top w:val="single" w:sz="8" w:color="CCEEFF"/>
            </w:tcBorders>
            <w:gridSpan w:val="3"/>
          </w:tcPr>
          <w:p>
            <w:pPr>
              <w:spacing w:after="0"/>
              <w:rPr>
                <w:sz w:val="20"/>
                <w:szCs w:val="20"/>
                <w:color w:val="auto"/>
              </w:rPr>
            </w:pPr>
            <w:r>
              <w:rPr>
                <w:rFonts w:ascii="Arial" w:cs="Arial" w:eastAsia="Arial" w:hAnsi="Arial"/>
                <w:sz w:val="14"/>
                <w:szCs w:val="14"/>
                <w:b w:val="1"/>
                <w:bCs w:val="1"/>
                <w:color w:val="auto"/>
              </w:rPr>
              <w:t>Non-Interest Expense</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Salaries and employee benefits</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44,612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43,022</w:t>
            </w:r>
          </w:p>
        </w:tc>
        <w:tc>
          <w:tcPr>
            <w:tcW w:w="0" w:type="dxa"/>
            <w:vAlign w:val="bottom"/>
          </w:tcPr>
          <w:p>
            <w:pPr>
              <w:spacing w:after="0"/>
              <w:rPr>
                <w:sz w:val="1"/>
                <w:szCs w:val="1"/>
                <w:color w:val="auto"/>
              </w:rPr>
            </w:pPr>
          </w:p>
        </w:tc>
      </w:tr>
      <w:tr>
        <w:trPr>
          <w:trHeight w:val="181"/>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Occupancy</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2,416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2,144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7,307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6,274</w:t>
            </w: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0" w:type="dxa"/>
            <w:vAlign w:val="bottom"/>
          </w:tcPr>
          <w:p>
            <w:pPr>
              <w:spacing w:after="0"/>
              <w:rPr>
                <w:sz w:val="1"/>
                <w:szCs w:val="1"/>
                <w:color w:val="auto"/>
              </w:rPr>
            </w:pPr>
          </w:p>
        </w:tc>
      </w:tr>
      <w:tr>
        <w:trPr>
          <w:trHeight w:val="181"/>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Deposit insurance premiums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2,995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Data processing</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w:t>
            </w:r>
          </w:p>
        </w:tc>
        <w:tc>
          <w:tcPr>
            <w:tcW w:w="0" w:type="dxa"/>
            <w:vAlign w:val="bottom"/>
          </w:tcPr>
          <w:p>
            <w:pPr>
              <w:spacing w:after="0"/>
              <w:rPr>
                <w:sz w:val="1"/>
                <w:szCs w:val="1"/>
                <w:color w:val="auto"/>
              </w:rPr>
            </w:pPr>
          </w:p>
        </w:tc>
      </w:tr>
      <w:tr>
        <w:trPr>
          <w:trHeight w:val="181"/>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Advertising</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Software and communication</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w:t>
            </w:r>
          </w:p>
        </w:tc>
        <w:tc>
          <w:tcPr>
            <w:tcW w:w="0" w:type="dxa"/>
            <w:vAlign w:val="bottom"/>
          </w:tcPr>
          <w:p>
            <w:pPr>
              <w:spacing w:after="0"/>
              <w:rPr>
                <w:sz w:val="1"/>
                <w:szCs w:val="1"/>
                <w:color w:val="auto"/>
              </w:rPr>
            </w:pPr>
          </w:p>
        </w:tc>
      </w:tr>
      <w:tr>
        <w:trPr>
          <w:trHeight w:val="181"/>
        </w:trPr>
        <w:tc>
          <w:tcPr>
            <w:tcW w:w="4000" w:type="dxa"/>
            <w:vAlign w:val="bottom"/>
            <w:gridSpan w:val="3"/>
          </w:tcPr>
          <w:p>
            <w:pPr>
              <w:ind w:left="100"/>
              <w:spacing w:after="0"/>
              <w:rPr>
                <w:sz w:val="20"/>
                <w:szCs w:val="20"/>
                <w:color w:val="auto"/>
              </w:rPr>
            </w:pPr>
            <w:r>
              <w:rPr>
                <w:rFonts w:ascii="Arial" w:cs="Arial" w:eastAsia="Arial" w:hAnsi="Arial"/>
                <w:sz w:val="14"/>
                <w:szCs w:val="14"/>
                <w:color w:val="auto"/>
              </w:rPr>
              <w:t>Foreclosed assets, net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181"/>
        </w:trPr>
        <w:tc>
          <w:tcPr>
            <w:tcW w:w="100" w:type="dxa"/>
            <w:vAlign w:val="bottom"/>
            <w:shd w:val="clear" w:color="auto" w:fill="CCEEFF"/>
          </w:tcPr>
          <w:p>
            <w:pPr>
              <w:spacing w:after="0"/>
              <w:rPr>
                <w:sz w:val="15"/>
                <w:szCs w:val="15"/>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 impairment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7,397</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Other non-interest expense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2,416</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7,967</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6,421</w:t>
            </w: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3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Total non-interest expense</w:t>
            </w: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24,036</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23,011</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72,667</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76,244</w:t>
            </w:r>
          </w:p>
        </w:tc>
        <w:tc>
          <w:tcPr>
            <w:tcW w:w="0" w:type="dxa"/>
            <w:vAlign w:val="bottom"/>
          </w:tcPr>
          <w:p>
            <w:pPr>
              <w:spacing w:after="0"/>
              <w:rPr>
                <w:sz w:val="1"/>
                <w:szCs w:val="1"/>
                <w:color w:val="auto"/>
              </w:rPr>
            </w:pPr>
          </w:p>
        </w:tc>
      </w:tr>
      <w:tr>
        <w:trPr>
          <w:trHeight w:val="172"/>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Net Income Before Taxes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26,660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9,504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60,443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5,435</w:t>
            </w:r>
          </w:p>
        </w:tc>
        <w:tc>
          <w:tcPr>
            <w:tcW w:w="0" w:type="dxa"/>
            <w:vAlign w:val="bottom"/>
          </w:tcPr>
          <w:p>
            <w:pPr>
              <w:spacing w:after="0"/>
              <w:rPr>
                <w:sz w:val="1"/>
                <w:szCs w:val="1"/>
                <w:color w:val="auto"/>
              </w:rPr>
            </w:pPr>
          </w:p>
        </w:tc>
      </w:tr>
      <w:tr>
        <w:trPr>
          <w:trHeight w:val="171"/>
        </w:trPr>
        <w:tc>
          <w:tcPr>
            <w:tcW w:w="100" w:type="dxa"/>
            <w:vAlign w:val="bottom"/>
            <w:tcBorders>
              <w:bottom w:val="single" w:sz="8" w:color="CCEEFF"/>
            </w:tcBorders>
            <w:shd w:val="clear" w:color="auto" w:fill="CCEEFF"/>
          </w:tcPr>
          <w:p>
            <w:pPr>
              <w:spacing w:after="0"/>
              <w:rPr>
                <w:sz w:val="14"/>
                <w:szCs w:val="14"/>
                <w:color w:val="auto"/>
              </w:rPr>
            </w:pPr>
          </w:p>
        </w:tc>
        <w:tc>
          <w:tcPr>
            <w:tcW w:w="3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Income tax expense</w:t>
            </w: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5,660</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11,831</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203"/>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21,000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8,006</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48,612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4,507</w:t>
            </w:r>
          </w:p>
        </w:tc>
        <w:tc>
          <w:tcPr>
            <w:tcW w:w="0" w:type="dxa"/>
            <w:vAlign w:val="bottom"/>
          </w:tcPr>
          <w:p>
            <w:pPr>
              <w:spacing w:after="0"/>
              <w:rPr>
                <w:sz w:val="1"/>
                <w:szCs w:val="1"/>
                <w:color w:val="auto"/>
              </w:rPr>
            </w:pPr>
          </w:p>
        </w:tc>
      </w:tr>
      <w:tr>
        <w:trPr>
          <w:trHeight w:val="163"/>
        </w:trPr>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Basic Earnings Per Share</w:t>
            </w: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shd w:val="clear" w:color="auto" w:fill="CCEEFF"/>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0.95</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Diluted Earnings Per Share</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gridSpan w:val="3"/>
            <w:vMerge w:val="continue"/>
          </w:tcPr>
          <w:p>
            <w:pPr>
              <w:spacing w:after="0"/>
              <w:rPr>
                <w:sz w:val="12"/>
                <w:szCs w:val="12"/>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0.41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0.15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0.93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406" w:right="1440" w:bottom="1440" w:gutter="0" w:footer="0" w:header="0"/>
        </w:sectPr>
      </w:pPr>
    </w:p>
    <w:bookmarkStart w:id="5" w:name="page6"/>
    <w:bookmarkEnd w:id="5"/>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CONSOLIDATED STATEMENTS OF COMPREHENSIVE INCOME - UNAUDITED</w:t>
      </w:r>
    </w:p>
    <w:p>
      <w:pPr>
        <w:spacing w:after="0" w:line="62" w:lineRule="exact"/>
        <w:rPr>
          <w:sz w:val="20"/>
          <w:szCs w:val="20"/>
          <w:color w:val="auto"/>
        </w:rPr>
      </w:pPr>
    </w:p>
    <w:tbl>
      <w:tblPr>
        <w:tblLayout w:type="fixed"/>
        <w:tblInd w:w="540" w:type="dxa"/>
        <w:tblCellMar>
          <w:top w:w="0" w:type="dxa"/>
          <w:left w:w="0" w:type="dxa"/>
          <w:bottom w:w="0" w:type="dxa"/>
          <w:right w:w="0" w:type="dxa"/>
        </w:tblCellMar>
      </w:tblPr>
      <w:tr>
        <w:trPr>
          <w:trHeight w:val="181"/>
        </w:trPr>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jc w:val="right"/>
              <w:ind w:right="249"/>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5"/>
          </w:tcPr>
          <w:p>
            <w:pPr>
              <w:jc w:val="right"/>
              <w:ind w:right="269"/>
              <w:spacing w:after="0"/>
              <w:rPr>
                <w:sz w:val="20"/>
                <w:szCs w:val="20"/>
                <w:color w:val="auto"/>
              </w:rPr>
            </w:pPr>
            <w:r>
              <w:rPr>
                <w:rFonts w:ascii="Arial" w:cs="Arial" w:eastAsia="Arial" w:hAnsi="Arial"/>
                <w:sz w:val="14"/>
                <w:szCs w:val="14"/>
                <w:b w:val="1"/>
                <w:bCs w:val="1"/>
                <w:color w:val="auto"/>
              </w:rPr>
              <w:t>Nine Months Ended</w:t>
            </w:r>
          </w:p>
        </w:tc>
      </w:tr>
      <w:tr>
        <w:trPr>
          <w:trHeight w:val="164"/>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469"/>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49"/>
              <w:spacing w:after="0"/>
              <w:rPr>
                <w:sz w:val="20"/>
                <w:szCs w:val="20"/>
                <w:color w:val="auto"/>
              </w:rPr>
            </w:pPr>
            <w:r>
              <w:rPr>
                <w:rFonts w:ascii="Arial" w:cs="Arial" w:eastAsia="Arial" w:hAnsi="Arial"/>
                <w:sz w:val="14"/>
                <w:szCs w:val="14"/>
                <w:b w:val="1"/>
                <w:bCs w:val="1"/>
                <w:color w:val="auto"/>
              </w:rPr>
              <w:t>September 30,</w:t>
            </w:r>
          </w:p>
        </w:tc>
      </w:tr>
      <w:tr>
        <w:trPr>
          <w:trHeight w:val="161"/>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2020</w:t>
            </w:r>
          </w:p>
        </w:tc>
      </w:tr>
      <w:tr>
        <w:trPr>
          <w:trHeight w:val="172"/>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7"/>
          </w:tcPr>
          <w:p>
            <w:pPr>
              <w:ind w:left="180"/>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1"/>
        </w:trPr>
        <w:tc>
          <w:tcPr>
            <w:tcW w:w="40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8,006</w:t>
            </w:r>
          </w:p>
        </w:tc>
        <w:tc>
          <w:tcPr>
            <w:tcW w:w="280" w:type="dxa"/>
            <w:vAlign w:val="bottom"/>
            <w:gridSpan w:val="3"/>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48,612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4,507</w:t>
            </w:r>
          </w:p>
        </w:tc>
      </w:tr>
      <w:tr>
        <w:trPr>
          <w:trHeight w:val="181"/>
        </w:trPr>
        <w:tc>
          <w:tcPr>
            <w:tcW w:w="4000" w:type="dxa"/>
            <w:vAlign w:val="bottom"/>
            <w:gridSpan w:val="4"/>
          </w:tcPr>
          <w:p>
            <w:pPr>
              <w:ind w:left="100"/>
              <w:spacing w:after="0"/>
              <w:rPr>
                <w:sz w:val="20"/>
                <w:szCs w:val="20"/>
                <w:color w:val="auto"/>
              </w:rPr>
            </w:pPr>
            <w:r>
              <w:rPr>
                <w:rFonts w:ascii="Arial" w:cs="Arial" w:eastAsia="Arial" w:hAnsi="Arial"/>
                <w:sz w:val="14"/>
                <w:szCs w:val="14"/>
                <w:b w:val="1"/>
                <w:bCs w:val="1"/>
                <w:color w:val="auto"/>
              </w:rPr>
              <w:t>Other Comprehensive Income (Loss)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1"/>
        </w:trPr>
        <w:tc>
          <w:tcPr>
            <w:tcW w:w="200" w:type="dxa"/>
            <w:vAlign w:val="bottom"/>
            <w:shd w:val="clear" w:color="auto" w:fill="CCEEFF"/>
          </w:tcPr>
          <w:p>
            <w:pPr>
              <w:spacing w:after="0"/>
              <w:rPr>
                <w:sz w:val="15"/>
                <w:szCs w:val="15"/>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Unrealized gain (loss) on available-for-sale securities</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(7,989)</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(11,532)</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14,073</w:t>
            </w:r>
          </w:p>
        </w:tc>
      </w:tr>
      <w:tr>
        <w:trPr>
          <w:trHeight w:val="191"/>
        </w:trPr>
        <w:tc>
          <w:tcPr>
            <w:tcW w:w="4000" w:type="dxa"/>
            <w:vAlign w:val="bottom"/>
            <w:gridSpan w:val="4"/>
          </w:tcPr>
          <w:p>
            <w:pPr>
              <w:ind w:left="180"/>
              <w:spacing w:after="0"/>
              <w:rPr>
                <w:sz w:val="20"/>
                <w:szCs w:val="20"/>
                <w:color w:val="auto"/>
              </w:rPr>
            </w:pPr>
            <w:r>
              <w:rPr>
                <w:rFonts w:ascii="Arial" w:cs="Arial" w:eastAsia="Arial" w:hAnsi="Arial"/>
                <w:sz w:val="14"/>
                <w:szCs w:val="14"/>
                <w:color w:val="auto"/>
              </w:rPr>
              <w:t>Less: income tax expense (benefit)</w:t>
            </w:r>
          </w:p>
        </w:tc>
        <w:tc>
          <w:tcPr>
            <w:tcW w:w="1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(1,956)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(2,823)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3,440</w:t>
            </w:r>
          </w:p>
        </w:tc>
      </w:tr>
      <w:tr>
        <w:trPr>
          <w:trHeight w:val="173"/>
        </w:trPr>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9"/>
              </w:rPr>
              <w:t>Unrealized gain (loss) on available-for-sale securities, net of</w:t>
            </w: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160"/>
        </w:trPr>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(6,033)</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(8,709)</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10,633</w:t>
            </w:r>
          </w:p>
        </w:tc>
      </w:tr>
      <w:tr>
        <w:trPr>
          <w:trHeight w:val="181"/>
        </w:trPr>
        <w:tc>
          <w:tcPr>
            <w:tcW w:w="4000" w:type="dxa"/>
            <w:vAlign w:val="bottom"/>
            <w:gridSpan w:val="4"/>
          </w:tcPr>
          <w:p>
            <w:pPr>
              <w:ind w:left="180"/>
              <w:spacing w:after="0"/>
              <w:rPr>
                <w:sz w:val="20"/>
                <w:szCs w:val="20"/>
                <w:color w:val="auto"/>
              </w:rPr>
            </w:pPr>
            <w:r>
              <w:rPr>
                <w:rFonts w:ascii="Arial" w:cs="Arial" w:eastAsia="Arial" w:hAnsi="Arial"/>
                <w:sz w:val="14"/>
                <w:szCs w:val="14"/>
                <w:color w:val="auto"/>
                <w:w w:val="95"/>
              </w:rPr>
              <w:t>Reclassification adjustment for realized gains included in income</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1,725</w:t>
            </w:r>
          </w:p>
        </w:tc>
      </w:tr>
      <w:tr>
        <w:trPr>
          <w:trHeight w:val="181"/>
        </w:trPr>
        <w:tc>
          <w:tcPr>
            <w:tcW w:w="200" w:type="dxa"/>
            <w:vAlign w:val="bottom"/>
            <w:shd w:val="clear" w:color="auto" w:fill="CCEEFF"/>
          </w:tcPr>
          <w:p>
            <w:pPr>
              <w:spacing w:after="0"/>
              <w:rPr>
                <w:sz w:val="15"/>
                <w:szCs w:val="15"/>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Less: income tax expense</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r>
      <w:tr>
        <w:trPr>
          <w:trHeight w:val="182"/>
        </w:trPr>
        <w:tc>
          <w:tcPr>
            <w:tcW w:w="200" w:type="dxa"/>
            <w:vAlign w:val="bottom"/>
          </w:tcPr>
          <w:p>
            <w:pPr>
              <w:spacing w:after="0"/>
              <w:rPr>
                <w:sz w:val="15"/>
                <w:szCs w:val="15"/>
                <w:color w:val="auto"/>
              </w:rPr>
            </w:pPr>
          </w:p>
        </w:tc>
        <w:tc>
          <w:tcPr>
            <w:tcW w:w="3800" w:type="dxa"/>
            <w:vAlign w:val="bottom"/>
            <w:gridSpan w:val="3"/>
          </w:tcPr>
          <w:p>
            <w:pPr>
              <w:ind w:left="80"/>
              <w:spacing w:after="0"/>
              <w:rPr>
                <w:sz w:val="20"/>
                <w:szCs w:val="20"/>
                <w:color w:val="auto"/>
              </w:rPr>
            </w:pPr>
            <w:r>
              <w:rPr>
                <w:rFonts w:ascii="Arial" w:cs="Arial" w:eastAsia="Arial" w:hAnsi="Arial"/>
                <w:sz w:val="14"/>
                <w:szCs w:val="14"/>
                <w:color w:val="auto"/>
                <w:w w:val="96"/>
              </w:rPr>
              <w:t>Less: reclassification adjustment for realized gains included in</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1"/>
        </w:trPr>
        <w:tc>
          <w:tcPr>
            <w:tcW w:w="20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income, net of income tax</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w:t>
            </w:r>
          </w:p>
        </w:tc>
      </w:tr>
      <w:tr>
        <w:trPr>
          <w:trHeight w:val="161"/>
        </w:trPr>
        <w:tc>
          <w:tcPr>
            <w:tcW w:w="400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(6,823)</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(9,497)</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9,330</w:t>
            </w:r>
          </w:p>
        </w:tc>
      </w:tr>
      <w:tr>
        <w:trPr>
          <w:trHeight w:val="183"/>
        </w:trPr>
        <w:tc>
          <w:tcPr>
            <w:tcW w:w="4000" w:type="dxa"/>
            <w:vAlign w:val="bottom"/>
            <w:tcBorders>
              <w:top w:val="single" w:sz="8" w:color="CCEEFF"/>
            </w:tcBorders>
            <w:gridSpan w:val="4"/>
          </w:tcPr>
          <w:p>
            <w:pPr>
              <w:spacing w:after="0"/>
              <w:rPr>
                <w:sz w:val="20"/>
                <w:szCs w:val="20"/>
                <w:color w:val="auto"/>
              </w:rPr>
            </w:pPr>
            <w:r>
              <w:rPr>
                <w:rFonts w:ascii="Arial" w:cs="Arial" w:eastAsia="Arial" w:hAnsi="Arial"/>
                <w:sz w:val="14"/>
                <w:szCs w:val="14"/>
                <w:b w:val="1"/>
                <w:bCs w:val="1"/>
                <w:color w:val="auto"/>
              </w:rPr>
              <w:t>Comprehensive Income</w:t>
            </w: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14,177</w:t>
            </w: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8,693</w:t>
            </w:r>
          </w:p>
        </w:tc>
        <w:tc>
          <w:tcPr>
            <w:tcW w:w="80" w:type="dxa"/>
            <w:vAlign w:val="bottom"/>
            <w:tcBorders>
              <w:top w:val="single" w:sz="8" w:color="CCEEFF"/>
            </w:tcBorders>
            <w:gridSpan w:val="2"/>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39,115</w:t>
            </w: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13,837</w:t>
            </w: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406" w:right="1440" w:bottom="1440" w:gutter="0" w:footer="0" w:header="0"/>
        </w:sectPr>
      </w:pPr>
    </w:p>
    <w:bookmarkStart w:id="6" w:name="page7"/>
    <w:bookmarkEnd w:id="6"/>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STOCKHOLDERS’ EQUITY -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gridSpan w:val="5"/>
          </w:tcPr>
          <w:p>
            <w:pPr>
              <w:jc w:val="right"/>
              <w:ind w:right="40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94"/>
              </w:rPr>
              <w:t>Accumulated 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26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Treasury Stock</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tcPr>
          <w:p>
            <w:pPr>
              <w:jc w:val="right"/>
              <w:ind w:right="1049"/>
              <w:spacing w:after="0"/>
              <w:rPr>
                <w:sz w:val="20"/>
                <w:szCs w:val="20"/>
                <w:color w:val="auto"/>
              </w:rPr>
            </w:pPr>
            <w:r>
              <w:rPr>
                <w:rFonts w:ascii="Arial" w:cs="Arial" w:eastAsia="Arial" w:hAnsi="Arial"/>
                <w:sz w:val="13"/>
                <w:szCs w:val="13"/>
                <w:i w:val="1"/>
                <w:iCs w:val="1"/>
                <w:color w:val="auto"/>
                <w:w w:val="93"/>
              </w:rPr>
              <w:t>(Dollars in thousands)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2020</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52,167,573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521,133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61,344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25,094</w:t>
            </w:r>
          </w:p>
        </w:tc>
        <w:tc>
          <w:tcPr>
            <w:tcW w:w="10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608,092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8,006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unrealized appreciation on</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available-for-sale securities</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28,205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receivables from sale of stock</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1,207</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52,195,778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522,226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69,355</w:t>
            </w:r>
          </w:p>
        </w:tc>
        <w:tc>
          <w:tcPr>
            <w:tcW w:w="8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25,781</w:t>
            </w:r>
          </w:p>
        </w:tc>
        <w:tc>
          <w:tcPr>
            <w:tcW w:w="1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617,883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gridSpan w:val="5"/>
          </w:tcPr>
          <w:p>
            <w:pPr>
              <w:jc w:val="right"/>
              <w:ind w:right="40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94"/>
              </w:rPr>
              <w:t>Accumulated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Treasury Stock</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tcPr>
          <w:p>
            <w:pPr>
              <w:jc w:val="right"/>
              <w:ind w:right="1049"/>
              <w:spacing w:after="0"/>
              <w:rPr>
                <w:sz w:val="20"/>
                <w:szCs w:val="20"/>
                <w:color w:val="auto"/>
              </w:rPr>
            </w:pPr>
            <w:r>
              <w:rPr>
                <w:rFonts w:ascii="Arial" w:cs="Arial" w:eastAsia="Arial" w:hAnsi="Arial"/>
                <w:sz w:val="13"/>
                <w:szCs w:val="13"/>
                <w:i w:val="1"/>
                <w:iCs w:val="1"/>
                <w:color w:val="auto"/>
                <w:w w:val="93"/>
              </w:rPr>
              <w:t>(Dollars in thousands)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50,958,680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524,637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105,299</w:t>
            </w:r>
          </w:p>
        </w:tc>
        <w:tc>
          <w:tcPr>
            <w:tcW w:w="8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26,729</w:t>
            </w:r>
          </w:p>
        </w:tc>
        <w:tc>
          <w:tcPr>
            <w:tcW w:w="10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8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637,190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21,000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3"/>
              </w:rPr>
              <w:t>Change in unrealized depreciation of available-</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for-sale securities</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44,018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1,149</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Arial" w:cs="Arial" w:eastAsia="Arial" w:hAnsi="Arial"/>
                <w:sz w:val="14"/>
                <w:szCs w:val="14"/>
                <w:color w:val="auto"/>
              </w:rPr>
              <w:t>Balance September 30, 2021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51,002,698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526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525,676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126,299</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9"/>
              <w:spacing w:after="0"/>
              <w:rPr>
                <w:sz w:val="20"/>
                <w:szCs w:val="20"/>
                <w:color w:val="auto"/>
              </w:rPr>
            </w:pPr>
            <w:r>
              <w:rPr>
                <w:rFonts w:ascii="Arial" w:cs="Arial" w:eastAsia="Arial" w:hAnsi="Arial"/>
                <w:sz w:val="14"/>
                <w:szCs w:val="14"/>
                <w:color w:val="auto"/>
              </w:rPr>
              <w:t>19,906</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(20,000)</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652,407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500"/>
          </w:cols>
          <w:pgMar w:left="780" w:top="406" w:right="6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5"/>
        </w:trPr>
        <w:tc>
          <w:tcPr>
            <w:tcW w:w="1000" w:type="dxa"/>
            <w:vAlign w:val="bottom"/>
            <w:tcBorders>
              <w:top w:val="single" w:sz="8" w:color="0000FF"/>
            </w:tcBorders>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Accumulated Other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3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gridSpan w:val="2"/>
            <w:vMerge w:val="restart"/>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Treasury Stock</w:t>
            </w:r>
          </w:p>
        </w:tc>
        <w:tc>
          <w:tcPr>
            <w:tcW w:w="80" w:type="dxa"/>
            <w:vAlign w:val="bottom"/>
            <w:gridSpan w:val="2"/>
            <w:vMerge w:val="restart"/>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gridSpan w:val="8"/>
          </w:tcPr>
          <w:p>
            <w:pPr>
              <w:ind w:left="40"/>
              <w:spacing w:after="0"/>
              <w:rPr>
                <w:sz w:val="20"/>
                <w:szCs w:val="20"/>
                <w:color w:val="auto"/>
              </w:rPr>
            </w:pPr>
            <w:r>
              <w:rPr>
                <w:rFonts w:ascii="Arial" w:cs="Arial" w:eastAsia="Arial" w:hAnsi="Arial"/>
                <w:sz w:val="13"/>
                <w:szCs w:val="13"/>
                <w:i w:val="1"/>
                <w:iCs w:val="1"/>
                <w:color w:val="auto"/>
              </w:rPr>
              <w:t>(Dollars in thousands)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51,969,203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519,870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64,803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16,451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601,644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4,507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4,507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Change in unrealized appreciation on</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available-for-sale securities</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9,330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gridSpan w:val="2"/>
          </w:tcPr>
          <w:p>
            <w:pPr>
              <w:ind w:left="12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gridSpan w:val="2"/>
          </w:tcPr>
          <w:p>
            <w:pPr>
              <w:jc w:val="right"/>
              <w:ind w:right="9"/>
              <w:spacing w:after="0"/>
              <w:rPr>
                <w:sz w:val="20"/>
                <w:szCs w:val="20"/>
                <w:color w:val="auto"/>
              </w:rPr>
            </w:pPr>
            <w:r>
              <w:rPr>
                <w:rFonts w:ascii="Arial" w:cs="Arial" w:eastAsia="Arial" w:hAnsi="Arial"/>
                <w:sz w:val="14"/>
                <w:szCs w:val="14"/>
                <w:color w:val="auto"/>
              </w:rPr>
              <w:t>226,575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(869)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Employee receivables from sale of stock</w:t>
            </w: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i w:val="1"/>
                <w:iCs w:val="1"/>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3,223</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3,223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September 30, 2020</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52,195,778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522,226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69,355</w:t>
            </w:r>
          </w:p>
        </w:tc>
        <w:tc>
          <w:tcPr>
            <w:tcW w:w="8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25,781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617,883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Accumulated Other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Paid-in Capital</w:t>
            </w:r>
          </w:p>
        </w:tc>
        <w:tc>
          <w:tcPr>
            <w:tcW w:w="6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gridSpan w:val="2"/>
            <w:vMerge w:val="restart"/>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Treasury Stock</w:t>
            </w:r>
          </w:p>
        </w:tc>
        <w:tc>
          <w:tcPr>
            <w:tcW w:w="80" w:type="dxa"/>
            <w:vAlign w:val="bottom"/>
            <w:gridSpan w:val="2"/>
            <w:vMerge w:val="restart"/>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0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Borders>
              <w:bottom w:val="single" w:sz="8" w:color="auto"/>
            </w:tcBorders>
            <w:gridSpan w:val="3"/>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gridSpan w:val="2"/>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80" w:type="dxa"/>
            <w:vAlign w:val="bottom"/>
            <w:gridSpan w:val="8"/>
          </w:tcPr>
          <w:p>
            <w:pPr>
              <w:ind w:left="40"/>
              <w:spacing w:after="0"/>
              <w:rPr>
                <w:sz w:val="20"/>
                <w:szCs w:val="20"/>
                <w:color w:val="auto"/>
              </w:rPr>
            </w:pPr>
            <w:r>
              <w:rPr>
                <w:rFonts w:ascii="Arial" w:cs="Arial" w:eastAsia="Arial" w:hAnsi="Arial"/>
                <w:sz w:val="13"/>
                <w:szCs w:val="13"/>
                <w:i w:val="1"/>
                <w:iCs w:val="1"/>
                <w:color w:val="auto"/>
              </w:rPr>
              <w:t>(Dollars in thousands)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51,679,516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522,911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77,652</w:t>
            </w:r>
          </w:p>
        </w:tc>
        <w:tc>
          <w:tcPr>
            <w:tcW w:w="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29,403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(6,061)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624,428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gridSpan w:val="2"/>
          </w:tcPr>
          <w:p>
            <w:pPr>
              <w:ind w:left="10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48,612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48,612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3"/>
              </w:rPr>
              <w:t>Change in unrealized depreciation of available-</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for-sale securities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(9,497)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(9,497)</w:t>
            </w:r>
          </w:p>
        </w:tc>
        <w:tc>
          <w:tcPr>
            <w:tcW w:w="0" w:type="dxa"/>
            <w:vAlign w:val="bottom"/>
          </w:tcPr>
          <w:p>
            <w:pPr>
              <w:spacing w:after="0"/>
              <w:rPr>
                <w:sz w:val="1"/>
                <w:szCs w:val="1"/>
                <w:color w:val="auto"/>
              </w:rPr>
            </w:pPr>
          </w:p>
        </w:tc>
      </w:tr>
      <w:tr>
        <w:trPr>
          <w:trHeight w:val="181"/>
        </w:trPr>
        <w:tc>
          <w:tcPr>
            <w:tcW w:w="2860" w:type="dxa"/>
            <w:vAlign w:val="bottom"/>
            <w:gridSpan w:val="2"/>
          </w:tcPr>
          <w:p>
            <w:pPr>
              <w:ind w:left="10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287,375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(608)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81"/>
        </w:trPr>
        <w:tc>
          <w:tcPr>
            <w:tcW w:w="2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Open market common share repurchases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(964,193)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(13,939)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(13,939)</w:t>
            </w:r>
          </w:p>
        </w:tc>
        <w:tc>
          <w:tcPr>
            <w:tcW w:w="0" w:type="dxa"/>
            <w:vAlign w:val="bottom"/>
          </w:tcPr>
          <w:p>
            <w:pPr>
              <w:spacing w:after="0"/>
              <w:rPr>
                <w:sz w:val="1"/>
                <w:szCs w:val="1"/>
                <w:color w:val="auto"/>
              </w:rPr>
            </w:pPr>
          </w:p>
        </w:tc>
      </w:tr>
      <w:tr>
        <w:trPr>
          <w:trHeight w:val="181"/>
        </w:trPr>
        <w:tc>
          <w:tcPr>
            <w:tcW w:w="2860" w:type="dxa"/>
            <w:vAlign w:val="bottom"/>
            <w:gridSpan w:val="2"/>
          </w:tcPr>
          <w:p>
            <w:pPr>
              <w:ind w:left="100"/>
              <w:spacing w:after="0"/>
              <w:rPr>
                <w:sz w:val="20"/>
                <w:szCs w:val="20"/>
                <w:color w:val="auto"/>
              </w:rPr>
            </w:pPr>
            <w:r>
              <w:rPr>
                <w:rFonts w:ascii="Arial" w:cs="Arial" w:eastAsia="Arial" w:hAnsi="Arial"/>
                <w:sz w:val="14"/>
                <w:szCs w:val="14"/>
                <w:color w:val="auto"/>
              </w:rPr>
              <w:t>Employee receivables from sale of stock</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3,373</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3,373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Arial" w:cs="Arial" w:eastAsia="Arial" w:hAnsi="Arial"/>
                <w:sz w:val="14"/>
                <w:szCs w:val="14"/>
                <w:color w:val="auto"/>
              </w:rPr>
              <w:t>Balance September 30, 2021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51,002,698</w:t>
            </w:r>
          </w:p>
        </w:tc>
        <w:tc>
          <w:tcPr>
            <w:tcW w:w="80" w:type="dxa"/>
            <w:vAlign w:val="bottom"/>
          </w:tcPr>
          <w:p>
            <w:pPr>
              <w:spacing w:after="0"/>
              <w:rPr>
                <w:sz w:val="14"/>
                <w:szCs w:val="14"/>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526</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525,676</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126,299</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19,906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652,407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500"/>
          </w:cols>
          <w:pgMar w:left="780" w:top="395" w:right="619" w:bottom="1440" w:gutter="0" w:footer="0" w:header="0"/>
        </w:sectPr>
      </w:pPr>
    </w:p>
    <w:bookmarkStart w:id="8" w:name="page9"/>
    <w:bookmarkEnd w:id="8"/>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CONSOLIDATED STATEMENTS OF CASH FLOWS - UNAUDITED</w:t>
      </w:r>
    </w:p>
    <w:p>
      <w:pPr>
        <w:spacing w:after="0" w:line="7"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center"/>
              <w:ind w:right="193"/>
              <w:spacing w:after="0"/>
              <w:rPr>
                <w:sz w:val="20"/>
                <w:szCs w:val="20"/>
                <w:color w:val="auto"/>
              </w:rPr>
            </w:pPr>
            <w:r>
              <w:rPr>
                <w:rFonts w:ascii="Arial" w:cs="Arial" w:eastAsia="Arial" w:hAnsi="Arial"/>
                <w:sz w:val="13"/>
                <w:szCs w:val="13"/>
                <w:b w:val="1"/>
                <w:bCs w:val="1"/>
                <w:color w:val="auto"/>
                <w:w w:val="95"/>
              </w:rPr>
              <w:t>Nine Months Ended</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left="453"/>
              <w:spacing w:after="0"/>
              <w:rPr>
                <w:sz w:val="20"/>
                <w:szCs w:val="20"/>
                <w:color w:val="auto"/>
              </w:rPr>
            </w:pPr>
            <w:r>
              <w:rPr>
                <w:rFonts w:ascii="Arial" w:cs="Arial" w:eastAsia="Arial" w:hAnsi="Arial"/>
                <w:sz w:val="13"/>
                <w:szCs w:val="13"/>
                <w:b w:val="1"/>
                <w:bCs w:val="1"/>
                <w:color w:val="auto"/>
                <w:w w:val="92"/>
              </w:rPr>
              <w:t>September 30,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center"/>
              <w:ind w:right="193"/>
              <w:spacing w:after="0"/>
              <w:rPr>
                <w:sz w:val="20"/>
                <w:szCs w:val="20"/>
                <w:color w:val="auto"/>
              </w:rPr>
            </w:pPr>
            <w:r>
              <w:rPr>
                <w:rFonts w:ascii="Arial" w:cs="Arial" w:eastAsia="Arial" w:hAnsi="Arial"/>
                <w:sz w:val="13"/>
                <w:szCs w:val="13"/>
                <w:i w:val="1"/>
                <w:iCs w:val="1"/>
                <w:color w:val="auto"/>
                <w:w w:val="91"/>
              </w:rPr>
              <w:t>(Dollars in thousands)</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Activities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48,612</w:t>
            </w:r>
          </w:p>
        </w:tc>
        <w:tc>
          <w:tcPr>
            <w:tcW w:w="22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4,507</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Items not requiring (providing) cash</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3,993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3,888</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Provision for loan losses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45,825</w:t>
            </w:r>
          </w:p>
        </w:tc>
        <w:tc>
          <w:tcPr>
            <w:tcW w:w="0" w:type="dxa"/>
            <w:vAlign w:val="bottom"/>
          </w:tcPr>
          <w:p>
            <w:pPr>
              <w:spacing w:after="0"/>
              <w:rPr>
                <w:sz w:val="1"/>
                <w:szCs w:val="1"/>
                <w:color w:val="auto"/>
              </w:rPr>
            </w:pPr>
          </w:p>
        </w:tc>
      </w:tr>
      <w:tr>
        <w:trPr>
          <w:trHeight w:val="171"/>
        </w:trPr>
        <w:tc>
          <w:tcPr>
            <w:tcW w:w="5240" w:type="dxa"/>
            <w:vAlign w:val="bottom"/>
          </w:tcPr>
          <w:p>
            <w:pPr>
              <w:ind w:left="280"/>
              <w:spacing w:after="0"/>
              <w:rPr>
                <w:sz w:val="20"/>
                <w:szCs w:val="20"/>
                <w:color w:val="auto"/>
              </w:rPr>
            </w:pPr>
            <w:r>
              <w:rPr>
                <w:rFonts w:ascii="Arial" w:cs="Arial" w:eastAsia="Arial" w:hAnsi="Arial"/>
                <w:sz w:val="13"/>
                <w:szCs w:val="13"/>
                <w:color w:val="auto"/>
              </w:rPr>
              <w:t>Accretion of discounts and amortization of premiums on securities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3,876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4,632</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Equity based compensation</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3,223</w:t>
            </w:r>
          </w:p>
        </w:tc>
        <w:tc>
          <w:tcPr>
            <w:tcW w:w="0" w:type="dxa"/>
            <w:vAlign w:val="bottom"/>
          </w:tcPr>
          <w:p>
            <w:pPr>
              <w:spacing w:after="0"/>
              <w:rPr>
                <w:sz w:val="1"/>
                <w:szCs w:val="1"/>
                <w:color w:val="auto"/>
              </w:rPr>
            </w:pPr>
          </w:p>
        </w:tc>
      </w:tr>
      <w:tr>
        <w:trPr>
          <w:trHeight w:val="171"/>
        </w:trPr>
        <w:tc>
          <w:tcPr>
            <w:tcW w:w="5240" w:type="dxa"/>
            <w:vAlign w:val="bottom"/>
          </w:tcPr>
          <w:p>
            <w:pPr>
              <w:ind w:left="280"/>
              <w:spacing w:after="0"/>
              <w:rPr>
                <w:sz w:val="20"/>
                <w:szCs w:val="20"/>
                <w:color w:val="auto"/>
              </w:rPr>
            </w:pPr>
            <w:r>
              <w:rPr>
                <w:rFonts w:ascii="Arial" w:cs="Arial" w:eastAsia="Arial" w:hAnsi="Arial"/>
                <w:sz w:val="13"/>
                <w:szCs w:val="13"/>
                <w:color w:val="auto"/>
              </w:rPr>
              <w:t>Foreclosed asset impairment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1,270</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(5,098)</w:t>
            </w:r>
          </w:p>
        </w:tc>
        <w:tc>
          <w:tcPr>
            <w:tcW w:w="0" w:type="dxa"/>
            <w:vAlign w:val="bottom"/>
          </w:tcPr>
          <w:p>
            <w:pPr>
              <w:spacing w:after="0"/>
              <w:rPr>
                <w:sz w:val="1"/>
                <w:szCs w:val="1"/>
                <w:color w:val="auto"/>
              </w:rPr>
            </w:pPr>
          </w:p>
        </w:tc>
      </w:tr>
      <w:tr>
        <w:trPr>
          <w:trHeight w:val="171"/>
        </w:trPr>
        <w:tc>
          <w:tcPr>
            <w:tcW w:w="5240" w:type="dxa"/>
            <w:vAlign w:val="bottom"/>
          </w:tcPr>
          <w:p>
            <w:pPr>
              <w:ind w:left="280"/>
              <w:spacing w:after="0"/>
              <w:rPr>
                <w:sz w:val="20"/>
                <w:szCs w:val="20"/>
                <w:color w:val="auto"/>
              </w:rPr>
            </w:pPr>
            <w:r>
              <w:rPr>
                <w:rFonts w:ascii="Arial" w:cs="Arial" w:eastAsia="Arial" w:hAnsi="Arial"/>
                <w:sz w:val="13"/>
                <w:szCs w:val="13"/>
                <w:color w:val="auto"/>
              </w:rPr>
              <w:t>Net increase in bank owned life insurance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(3,088)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(1,373)</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recognized gains (losses) on equity securities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71"/>
        </w:trPr>
        <w:tc>
          <w:tcPr>
            <w:tcW w:w="5240" w:type="dxa"/>
            <w:vAlign w:val="bottom"/>
          </w:tcPr>
          <w:p>
            <w:pPr>
              <w:ind w:left="280"/>
              <w:spacing w:after="0"/>
              <w:rPr>
                <w:sz w:val="20"/>
                <w:szCs w:val="20"/>
                <w:color w:val="auto"/>
              </w:rPr>
            </w:pPr>
            <w:r>
              <w:rPr>
                <w:rFonts w:ascii="Arial" w:cs="Arial" w:eastAsia="Arial" w:hAnsi="Arial"/>
                <w:sz w:val="13"/>
                <w:szCs w:val="13"/>
                <w:color w:val="auto"/>
              </w:rPr>
              <w:t>Net realized gains on available-for-sale securities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(1,725)</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Goodwill impairment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7,397</w:t>
            </w:r>
          </w:p>
        </w:tc>
        <w:tc>
          <w:tcPr>
            <w:tcW w:w="0" w:type="dxa"/>
            <w:vAlign w:val="bottom"/>
          </w:tcPr>
          <w:p>
            <w:pPr>
              <w:spacing w:after="0"/>
              <w:rPr>
                <w:sz w:val="1"/>
                <w:szCs w:val="1"/>
                <w:color w:val="auto"/>
              </w:rPr>
            </w:pPr>
          </w:p>
        </w:tc>
      </w:tr>
      <w:tr>
        <w:trPr>
          <w:trHeight w:val="171"/>
        </w:trPr>
        <w:tc>
          <w:tcPr>
            <w:tcW w:w="5240" w:type="dxa"/>
            <w:vAlign w:val="bottom"/>
          </w:tcPr>
          <w:p>
            <w:pPr>
              <w:ind w:left="280"/>
              <w:spacing w:after="0"/>
              <w:rPr>
                <w:sz w:val="20"/>
                <w:szCs w:val="20"/>
                <w:color w:val="auto"/>
              </w:rPr>
            </w:pPr>
            <w:r>
              <w:rPr>
                <w:rFonts w:ascii="Arial" w:cs="Arial" w:eastAsia="Arial" w:hAnsi="Arial"/>
                <w:sz w:val="13"/>
                <w:szCs w:val="13"/>
                <w:color w:val="auto"/>
              </w:rPr>
              <w:t>Changes in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receivable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(3,287)</w:t>
            </w:r>
          </w:p>
        </w:tc>
        <w:tc>
          <w:tcPr>
            <w:tcW w:w="0" w:type="dxa"/>
            <w:vAlign w:val="bottom"/>
          </w:tcPr>
          <w:p>
            <w:pPr>
              <w:spacing w:after="0"/>
              <w:rPr>
                <w:sz w:val="1"/>
                <w:szCs w:val="1"/>
                <w:color w:val="auto"/>
              </w:rPr>
            </w:pPr>
          </w:p>
        </w:tc>
      </w:tr>
      <w:tr>
        <w:trPr>
          <w:trHeight w:val="171"/>
        </w:trPr>
        <w:tc>
          <w:tcPr>
            <w:tcW w:w="5240" w:type="dxa"/>
            <w:vAlign w:val="bottom"/>
          </w:tcPr>
          <w:p>
            <w:pPr>
              <w:ind w:left="280"/>
              <w:spacing w:after="0"/>
              <w:rPr>
                <w:sz w:val="20"/>
                <w:szCs w:val="20"/>
                <w:color w:val="auto"/>
              </w:rPr>
            </w:pPr>
            <w:r>
              <w:rPr>
                <w:rFonts w:ascii="Arial" w:cs="Arial" w:eastAsia="Arial" w:hAnsi="Arial"/>
                <w:sz w:val="13"/>
                <w:szCs w:val="13"/>
                <w:color w:val="auto"/>
              </w:rPr>
              <w:t>Other assets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(1,753)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(1,472)</w:t>
            </w:r>
          </w:p>
        </w:tc>
        <w:tc>
          <w:tcPr>
            <w:tcW w:w="0" w:type="dxa"/>
            <w:vAlign w:val="bottom"/>
          </w:tcPr>
          <w:p>
            <w:pPr>
              <w:spacing w:after="0"/>
              <w:rPr>
                <w:sz w:val="1"/>
                <w:szCs w:val="1"/>
                <w:color w:val="auto"/>
              </w:rPr>
            </w:pPr>
          </w:p>
        </w:tc>
      </w:tr>
      <w:tr>
        <w:trPr>
          <w:trHeight w:val="16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Other liabilities</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(4,546)</w:t>
            </w:r>
          </w:p>
        </w:tc>
        <w:tc>
          <w:tcPr>
            <w:tcW w:w="0" w:type="dxa"/>
            <w:vAlign w:val="bottom"/>
          </w:tcPr>
          <w:p>
            <w:pPr>
              <w:spacing w:after="0"/>
              <w:rPr>
                <w:sz w:val="1"/>
                <w:szCs w:val="1"/>
                <w:color w:val="auto"/>
              </w:rPr>
            </w:pPr>
          </w:p>
        </w:tc>
      </w:tr>
      <w:tr>
        <w:trPr>
          <w:trHeight w:val="152"/>
        </w:trPr>
        <w:tc>
          <w:tcPr>
            <w:tcW w:w="524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Net cash provided by operating activities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64,843</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53,188</w:t>
            </w:r>
          </w:p>
        </w:tc>
        <w:tc>
          <w:tcPr>
            <w:tcW w:w="0" w:type="dxa"/>
            <w:vAlign w:val="bottom"/>
          </w:tcPr>
          <w:p>
            <w:pPr>
              <w:spacing w:after="0"/>
              <w:rPr>
                <w:sz w:val="1"/>
                <w:szCs w:val="1"/>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Investing Activities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Net change in loans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196,637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(652,251)</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Purchases of available-for-sale securities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(168,705)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(35,326)</w:t>
            </w: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Proceeds from maturities of available-for-sale securities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83,546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102,529</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sale of available-for-sale securities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31,810</w:t>
            </w: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Proceeds from the sale of foreclosed assets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 of premises and equipment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(4,849)</w:t>
            </w: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Proceeds from the sale of premises and equipment and related insurance claims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 of restricted equity securities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w:t>
            </w: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Proceeds from sale of restricted equity securities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3,143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Proceeds from death benefit on bank owned life insurance</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3,483</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Net cash provided by (used in) investing activities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134,531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(560,805)</w:t>
            </w:r>
          </w:p>
        </w:tc>
        <w:tc>
          <w:tcPr>
            <w:tcW w:w="0" w:type="dxa"/>
            <w:vAlign w:val="bottom"/>
          </w:tcPr>
          <w:p>
            <w:pPr>
              <w:spacing w:after="0"/>
              <w:rPr>
                <w:sz w:val="1"/>
                <w:szCs w:val="1"/>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Financing Activities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Net increase in demand deposits, savings, NOW and money market accounts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84,218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667,849</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decrease in time deposits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(342,361)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(99,060)</w:t>
            </w: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Net decrease in fed funds purchased and repurchase agreements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(2,306)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(1,390)</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Federal Home Loan Bank advances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138,000</w:t>
            </w: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Repayment of Federal Home Loan Bank advances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(16,500)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(160,643)</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common shares, net of issuance cost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Proceeds from employee stock purchase plan</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Repurchase of common stock</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(13,939)</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3"/>
                <w:szCs w:val="13"/>
                <w:color w:val="auto"/>
              </w:rPr>
              <w:t>Acquisition of common stock for tax withholding obligations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(784)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(869)</w:t>
            </w:r>
          </w:p>
        </w:tc>
        <w:tc>
          <w:tcPr>
            <w:tcW w:w="0" w:type="dxa"/>
            <w:vAlign w:val="bottom"/>
          </w:tcPr>
          <w:p>
            <w:pPr>
              <w:spacing w:after="0"/>
              <w:rPr>
                <w:sz w:val="1"/>
                <w:szCs w:val="1"/>
                <w:color w:val="auto"/>
              </w:rPr>
            </w:pPr>
          </w:p>
        </w:tc>
      </w:tr>
      <w:tr>
        <w:trPr>
          <w:trHeight w:val="160"/>
        </w:trPr>
        <w:tc>
          <w:tcPr>
            <w:tcW w:w="5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Net decrease in employee receivables</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2"/>
        </w:trPr>
        <w:tc>
          <w:tcPr>
            <w:tcW w:w="524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Net cash provided by (used in) financing activities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(291,462)</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543,933</w:t>
            </w:r>
          </w:p>
        </w:tc>
        <w:tc>
          <w:tcPr>
            <w:tcW w:w="0" w:type="dxa"/>
            <w:vAlign w:val="bottom"/>
          </w:tcPr>
          <w:p>
            <w:pPr>
              <w:spacing w:after="0"/>
              <w:rPr>
                <w:sz w:val="1"/>
                <w:szCs w:val="1"/>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Increase (Decrease) in Cash and Cash Equivalents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(92,088)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36,316</w:t>
            </w:r>
          </w:p>
        </w:tc>
        <w:tc>
          <w:tcPr>
            <w:tcW w:w="0" w:type="dxa"/>
            <w:vAlign w:val="bottom"/>
          </w:tcPr>
          <w:p>
            <w:pPr>
              <w:spacing w:after="0"/>
              <w:rPr>
                <w:sz w:val="1"/>
                <w:szCs w:val="1"/>
                <w:color w:val="auto"/>
              </w:rPr>
            </w:pPr>
          </w:p>
        </w:tc>
      </w:tr>
      <w:tr>
        <w:trPr>
          <w:trHeight w:val="161"/>
        </w:trPr>
        <w:tc>
          <w:tcPr>
            <w:tcW w:w="52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and Cash Equivalents, Beginning of Period</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408,810</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187,320</w:t>
            </w:r>
          </w:p>
        </w:tc>
        <w:tc>
          <w:tcPr>
            <w:tcW w:w="0" w:type="dxa"/>
            <w:vAlign w:val="bottom"/>
          </w:tcPr>
          <w:p>
            <w:pPr>
              <w:spacing w:after="0"/>
              <w:rPr>
                <w:sz w:val="1"/>
                <w:szCs w:val="1"/>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Period</w:t>
            </w: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316,722</w:t>
            </w:r>
          </w:p>
        </w:tc>
        <w:tc>
          <w:tcPr>
            <w:tcW w:w="2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223,636</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Cash Flows Information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2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Interest paid</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37,238</w:t>
            </w:r>
          </w:p>
        </w:tc>
        <w:tc>
          <w:tcPr>
            <w:tcW w:w="0" w:type="dxa"/>
            <w:vAlign w:val="bottom"/>
          </w:tcPr>
          <w:p>
            <w:pPr>
              <w:spacing w:after="0"/>
              <w:rPr>
                <w:sz w:val="1"/>
                <w:szCs w:val="1"/>
                <w:color w:val="auto"/>
              </w:rPr>
            </w:pPr>
          </w:p>
        </w:tc>
      </w:tr>
      <w:tr>
        <w:trPr>
          <w:trHeight w:val="172"/>
        </w:trPr>
        <w:tc>
          <w:tcPr>
            <w:tcW w:w="5240" w:type="dxa"/>
            <w:vAlign w:val="bottom"/>
          </w:tcPr>
          <w:p>
            <w:pPr>
              <w:spacing w:after="0"/>
              <w:rPr>
                <w:sz w:val="20"/>
                <w:szCs w:val="20"/>
                <w:color w:val="auto"/>
              </w:rPr>
            </w:pPr>
            <w:r>
              <w:rPr>
                <w:rFonts w:ascii="Arial" w:cs="Arial" w:eastAsia="Arial" w:hAnsi="Arial"/>
                <w:sz w:val="13"/>
                <w:szCs w:val="13"/>
                <w:color w:val="auto"/>
              </w:rPr>
              <w:t>Income taxes paid</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8,370</w:t>
            </w:r>
          </w:p>
        </w:tc>
        <w:tc>
          <w:tcPr>
            <w:tcW w:w="22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406" w:right="1440" w:bottom="1440" w:gutter="0" w:footer="0" w:header="0"/>
        </w:sectPr>
      </w:pPr>
    </w:p>
    <w:bookmarkStart w:id="9" w:name="page10"/>
    <w:bookmarkEnd w:id="9"/>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Note 1: Nature of Operations and Summary of Significant Accounting Policies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Organization and Nature of Operations</w:t>
      </w:r>
    </w:p>
    <w:p>
      <w:pPr>
        <w:spacing w:after="0" w:line="161" w:lineRule="exact"/>
        <w:rPr>
          <w:sz w:val="20"/>
          <w:szCs w:val="20"/>
          <w:color w:val="auto"/>
        </w:rPr>
      </w:pPr>
    </w:p>
    <w:p>
      <w:pPr>
        <w:ind w:left="640" w:right="839" w:firstLine="384"/>
        <w:spacing w:after="0" w:line="301" w:lineRule="auto"/>
        <w:rPr>
          <w:sz w:val="20"/>
          <w:szCs w:val="20"/>
          <w:color w:val="auto"/>
        </w:rPr>
      </w:pPr>
      <w:r>
        <w:rPr>
          <w:rFonts w:ascii="Arial" w:cs="Arial" w:eastAsia="Arial" w:hAnsi="Arial"/>
          <w:sz w:val="14"/>
          <w:szCs w:val="14"/>
          <w:color w:val="auto"/>
        </w:rPr>
        <w:t>CrossFirst Bankshares, Inc. (the “Company”) is a bank holding company whose principal activities are the ownership and management of its wholly-owned subsidiary, CrossFirst Bank (the “Bank”). In addition, the Bank has three subsidiaries including CrossFirst Investments, Inc. (“CFI”) that holds investments in marketable securities, CFBSA I, LLC that holds foreclosed assets and CFBSA II, LLC that holds foreclosed assets.</w:t>
      </w:r>
    </w:p>
    <w:p>
      <w:pPr>
        <w:spacing w:after="0" w:line="110" w:lineRule="exact"/>
        <w:rPr>
          <w:sz w:val="20"/>
          <w:szCs w:val="20"/>
          <w:color w:val="auto"/>
        </w:rPr>
      </w:pPr>
    </w:p>
    <w:p>
      <w:pPr>
        <w:ind w:left="640" w:right="699" w:firstLine="384"/>
        <w:spacing w:after="0" w:line="309" w:lineRule="auto"/>
        <w:rPr>
          <w:sz w:val="20"/>
          <w:szCs w:val="20"/>
          <w:color w:val="auto"/>
        </w:rPr>
      </w:pPr>
      <w:r>
        <w:rPr>
          <w:rFonts w:ascii="Arial" w:cs="Arial" w:eastAsia="Arial" w:hAnsi="Arial"/>
          <w:sz w:val="14"/>
          <w:szCs w:val="14"/>
          <w:color w:val="auto"/>
        </w:rPr>
        <w:t>The Bank is primarily engaged in providing a full range of banking and financial services to individual and corporate customers through its branches in: (i) Leawood, Kansas; (ii) Wichita, Kansas; (iii) Kansas City, Missouri; (iv) Oklahoma City, Oklahoma; (v) Tulsa, Oklahoma; (vi) Dallas, Texas; (vii) Frisco, Texas; and (viii) Phoenix, Arizona.</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Basis of Presentation</w:t>
      </w:r>
    </w:p>
    <w:p>
      <w:pPr>
        <w:spacing w:after="0" w:line="161" w:lineRule="exact"/>
        <w:rPr>
          <w:sz w:val="20"/>
          <w:szCs w:val="20"/>
          <w:color w:val="auto"/>
        </w:rPr>
      </w:pPr>
    </w:p>
    <w:p>
      <w:pPr>
        <w:ind w:left="640" w:right="719" w:firstLine="384"/>
        <w:spacing w:after="0" w:line="309" w:lineRule="auto"/>
        <w:rPr>
          <w:sz w:val="20"/>
          <w:szCs w:val="20"/>
          <w:color w:val="auto"/>
        </w:rPr>
      </w:pPr>
      <w:r>
        <w:rPr>
          <w:rFonts w:ascii="Arial" w:cs="Arial" w:eastAsia="Arial" w:hAnsi="Arial"/>
          <w:sz w:val="14"/>
          <w:szCs w:val="14"/>
          <w:color w:val="auto"/>
        </w:rPr>
        <w:t>The Company’s accounting and reporting policies conform to accounting principles generally accepted in the United States (“GAAP”). The consolidated financial statements include the accounts of the Company, the Bank, CFI, CFBSA I, LLC and CFBSA II, LLC. All significant intercompany accounts and transactions have been eliminated in consolidation.</w:t>
      </w:r>
    </w:p>
    <w:p>
      <w:pPr>
        <w:spacing w:after="0" w:line="93" w:lineRule="exact"/>
        <w:rPr>
          <w:sz w:val="20"/>
          <w:szCs w:val="20"/>
          <w:color w:val="auto"/>
        </w:rPr>
      </w:pPr>
    </w:p>
    <w:p>
      <w:pPr>
        <w:ind w:left="640" w:right="739" w:firstLine="384"/>
        <w:spacing w:after="0" w:line="336" w:lineRule="auto"/>
        <w:rPr>
          <w:sz w:val="20"/>
          <w:szCs w:val="20"/>
          <w:color w:val="auto"/>
        </w:rPr>
      </w:pPr>
      <w:r>
        <w:rPr>
          <w:rFonts w:ascii="Arial" w:cs="Arial" w:eastAsia="Arial" w:hAnsi="Arial"/>
          <w:sz w:val="13"/>
          <w:szCs w:val="13"/>
          <w:color w:val="auto"/>
        </w:rPr>
        <w:t>The consolidated interim financial statements are unaudited and certain information and footnote disclosures presented in accordance with GAAP have been condensed or omitted and should be read in conjunction with the Company’s consolidated financial statements and footnotes included in the Company’s Annual Report on Form 10-K for the year ended December 31, 2020 (the “2020 Form 10-K”), filed with the Securities and Exchange Commission (the “SEC”) on February 26, 2021.</w:t>
      </w:r>
    </w:p>
    <w:p>
      <w:pPr>
        <w:spacing w:after="0" w:line="80" w:lineRule="exact"/>
        <w:rPr>
          <w:sz w:val="20"/>
          <w:szCs w:val="20"/>
          <w:color w:val="auto"/>
        </w:rPr>
      </w:pPr>
    </w:p>
    <w:p>
      <w:pPr>
        <w:ind w:left="640" w:right="699" w:firstLine="416"/>
        <w:spacing w:after="0" w:line="330" w:lineRule="auto"/>
        <w:rPr>
          <w:sz w:val="20"/>
          <w:szCs w:val="20"/>
          <w:color w:val="auto"/>
        </w:rPr>
      </w:pPr>
      <w:r>
        <w:rPr>
          <w:rFonts w:ascii="Arial" w:cs="Arial" w:eastAsia="Arial" w:hAnsi="Arial"/>
          <w:sz w:val="13"/>
          <w:szCs w:val="13"/>
          <w:color w:val="auto"/>
        </w:rPr>
        <w:t>In the opinion of management, the interim financial statements include all adjustments which are of a normal, recurring nature necessary for the fair presentation of the financial position, results of operations, and cash flows of the Company and the disclosures made are adequate to make the interim financial information not misleading. The consolidated financial statements have been prepared in accordance with GAAP for interim financial information and the instructions to Form 10-Q adopted by the SEC.</w:t>
      </w:r>
    </w:p>
    <w:p>
      <w:pPr>
        <w:spacing w:after="0" w:line="95" w:lineRule="exact"/>
        <w:rPr>
          <w:sz w:val="20"/>
          <w:szCs w:val="20"/>
          <w:color w:val="auto"/>
        </w:rPr>
      </w:pPr>
    </w:p>
    <w:p>
      <w:pPr>
        <w:ind w:left="640" w:right="579" w:firstLine="384"/>
        <w:spacing w:after="0" w:line="301" w:lineRule="auto"/>
        <w:rPr>
          <w:sz w:val="20"/>
          <w:szCs w:val="20"/>
          <w:color w:val="auto"/>
        </w:rPr>
      </w:pPr>
      <w:r>
        <w:rPr>
          <w:rFonts w:ascii="Arial" w:cs="Arial" w:eastAsia="Arial" w:hAnsi="Arial"/>
          <w:sz w:val="14"/>
          <w:szCs w:val="14"/>
          <w:color w:val="auto"/>
        </w:rPr>
        <w:t>No significant changes in the accounting policies of the Company occurred since December 31, 2020, the most recent date financial statements were provided within the Company’s 2020 Form 10-K. Operating results for the interim periods disclosed herein are not necessarily indicative of the results that may be expected for a full year or any future period.</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Use of Estimates</w:t>
      </w:r>
    </w:p>
    <w:p>
      <w:pPr>
        <w:spacing w:after="0" w:line="161" w:lineRule="exact"/>
        <w:rPr>
          <w:sz w:val="20"/>
          <w:szCs w:val="20"/>
          <w:color w:val="auto"/>
        </w:rPr>
      </w:pPr>
    </w:p>
    <w:p>
      <w:pPr>
        <w:ind w:left="640" w:right="899" w:firstLine="384"/>
        <w:spacing w:after="0" w:line="325" w:lineRule="auto"/>
        <w:rPr>
          <w:sz w:val="20"/>
          <w:szCs w:val="20"/>
          <w:color w:val="auto"/>
        </w:rPr>
      </w:pPr>
      <w:r>
        <w:rPr>
          <w:rFonts w:ascii="Arial" w:cs="Arial" w:eastAsia="Arial" w:hAnsi="Arial"/>
          <w:sz w:val="13"/>
          <w:szCs w:val="13"/>
          <w:color w:val="auto"/>
        </w:rPr>
        <w:t>The Company identified accounting policies and estimates that, due to the difficult, subjective or complex judgments and assumptions inherent in those policies and estimates and the potential sensitivity of the Company’s financial statements to those judgments and assumptions, are critical to an understanding of the Company’s financial condition and results of operations. Actual results could differ from those estimates. In particular, the novel coronavirus (“COVID-19”) pandemic and resulting impacts to economic conditions, as well as adverse impacts to the Company’s operations, may impact future estimates. The allowance for loan losses, deferred tax asset, and fair value of financial instruments are particularly susceptible to significant change.</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Cash Equivalents</w:t>
      </w:r>
    </w:p>
    <w:p>
      <w:pPr>
        <w:spacing w:after="0" w:line="161" w:lineRule="exact"/>
        <w:rPr>
          <w:sz w:val="20"/>
          <w:szCs w:val="20"/>
          <w:color w:val="auto"/>
        </w:rPr>
      </w:pPr>
    </w:p>
    <w:p>
      <w:pPr>
        <w:ind w:left="640" w:right="839" w:firstLine="384"/>
        <w:spacing w:after="0" w:line="332" w:lineRule="auto"/>
        <w:rPr>
          <w:sz w:val="20"/>
          <w:szCs w:val="20"/>
          <w:color w:val="auto"/>
        </w:rPr>
      </w:pPr>
      <w:r>
        <w:rPr>
          <w:rFonts w:ascii="Arial" w:cs="Arial" w:eastAsia="Arial" w:hAnsi="Arial"/>
          <w:sz w:val="14"/>
          <w:szCs w:val="14"/>
          <w:color w:val="auto"/>
        </w:rPr>
        <w:t>The Company had $253 million of cash and cash equivalents at the Federal Reserve Bank of Kansas City as of September 30, 2021. The reserve required at September 30, 2021 was $0.</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Coronavirus Aid, Relief, and Economic Security Act (“CARES Act”)</w:t>
      </w:r>
    </w:p>
    <w:p>
      <w:pPr>
        <w:spacing w:after="0" w:line="161" w:lineRule="exact"/>
        <w:rPr>
          <w:sz w:val="20"/>
          <w:szCs w:val="20"/>
          <w:color w:val="auto"/>
        </w:rPr>
      </w:pPr>
    </w:p>
    <w:p>
      <w:pPr>
        <w:ind w:left="640" w:right="639" w:firstLine="384"/>
        <w:spacing w:after="0" w:line="330" w:lineRule="auto"/>
        <w:rPr>
          <w:sz w:val="20"/>
          <w:szCs w:val="20"/>
          <w:color w:val="auto"/>
        </w:rPr>
      </w:pPr>
      <w:r>
        <w:rPr>
          <w:rFonts w:ascii="Arial" w:cs="Arial" w:eastAsia="Arial" w:hAnsi="Arial"/>
          <w:sz w:val="13"/>
          <w:szCs w:val="13"/>
          <w:color w:val="auto"/>
        </w:rPr>
        <w:t>The CARES Act gave financial institutions the right to elect to suspend GAAP principles and regulatory determinations for loan modifications relating to COVID-19 that would otherwise be categorized as troubled debt restructurings (“TDRs”) from March 1, 2020, through December 31, 2020. On December 27, 2020, the Consolidated Appropriations Act, 2021 was signed into law, which extended the period during which the Company may suspend GAAP principles and regulatory determinations for loan modifications relating to</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459" w:right="1440" w:bottom="1440" w:gutter="0" w:footer="0" w:header="0"/>
        </w:sectPr>
      </w:pPr>
    </w:p>
    <w:bookmarkStart w:id="10" w:name="page11"/>
    <w:bookmarkEnd w:id="10"/>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ind w:left="640" w:right="679"/>
        <w:spacing w:after="0" w:line="316" w:lineRule="auto"/>
        <w:rPr>
          <w:sz w:val="20"/>
          <w:szCs w:val="20"/>
          <w:color w:val="auto"/>
        </w:rPr>
      </w:pPr>
      <w:r>
        <w:rPr>
          <w:rFonts w:ascii="Arial" w:cs="Arial" w:eastAsia="Arial" w:hAnsi="Arial"/>
          <w:sz w:val="14"/>
          <w:szCs w:val="14"/>
          <w:color w:val="auto"/>
        </w:rPr>
        <w:t>COVID-19 that would otherwise be categorized as TDRs through January 1, 2022. The Company elected to apply the guidance starting in the first quarter of 2020.</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Changes Affecting Comparability</w:t>
      </w:r>
    </w:p>
    <w:p>
      <w:pPr>
        <w:spacing w:after="0" w:line="161" w:lineRule="exact"/>
        <w:rPr>
          <w:sz w:val="20"/>
          <w:szCs w:val="20"/>
          <w:color w:val="auto"/>
        </w:rPr>
      </w:pPr>
    </w:p>
    <w:p>
      <w:pPr>
        <w:ind w:left="640" w:right="619" w:firstLine="384"/>
        <w:spacing w:after="0" w:line="309" w:lineRule="auto"/>
        <w:rPr>
          <w:sz w:val="20"/>
          <w:szCs w:val="20"/>
          <w:color w:val="auto"/>
        </w:rPr>
      </w:pPr>
      <w:r>
        <w:rPr>
          <w:rFonts w:ascii="Arial" w:cs="Arial" w:eastAsia="Arial" w:hAnsi="Arial"/>
          <w:sz w:val="14"/>
          <w:szCs w:val="14"/>
          <w:color w:val="auto"/>
        </w:rPr>
        <w:t>Beginning with the quarter ended March 31, 2021, the Company consolidated the “Goodwill and other intangible assets, net” into “other assets” within the Consolidated Balance Sheets. The consolidation was due to the immateriality of the remaining intangible assets. The change had no impact on net income.</w:t>
      </w:r>
    </w:p>
    <w:p>
      <w:pPr>
        <w:spacing w:after="0" w:line="93" w:lineRule="exact"/>
        <w:rPr>
          <w:sz w:val="20"/>
          <w:szCs w:val="20"/>
          <w:color w:val="auto"/>
        </w:rPr>
      </w:pPr>
    </w:p>
    <w:p>
      <w:pPr>
        <w:ind w:left="640" w:right="699" w:firstLine="384"/>
        <w:spacing w:after="0" w:line="306" w:lineRule="auto"/>
        <w:rPr>
          <w:sz w:val="20"/>
          <w:szCs w:val="20"/>
          <w:color w:val="auto"/>
        </w:rPr>
      </w:pPr>
      <w:r>
        <w:rPr>
          <w:rFonts w:ascii="Arial" w:cs="Arial" w:eastAsia="Arial" w:hAnsi="Arial"/>
          <w:sz w:val="14"/>
          <w:szCs w:val="14"/>
          <w:color w:val="auto"/>
        </w:rPr>
        <w:t>For the quarter ended September 30, 2021, the Company broke out “unrealized gains (losses), net on equity securities” that was previously consolidated in “other non-interest income”. As a result, changes within the Consolidated Statements of Income in the prior periods were made to conform to the current period presentation. The changes provided additional detail about the Company’s operations. The changes had no impact on net income.</w:t>
      </w:r>
    </w:p>
    <w:p>
      <w:pPr>
        <w:spacing w:after="0" w:line="93"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Emerging Growth Company (“EGC”)</w:t>
      </w:r>
    </w:p>
    <w:p>
      <w:pPr>
        <w:spacing w:after="0" w:line="161" w:lineRule="exact"/>
        <w:rPr>
          <w:sz w:val="20"/>
          <w:szCs w:val="20"/>
          <w:color w:val="auto"/>
        </w:rPr>
      </w:pPr>
    </w:p>
    <w:p>
      <w:pPr>
        <w:ind w:left="640" w:right="779" w:firstLine="384"/>
        <w:spacing w:after="0" w:line="325" w:lineRule="auto"/>
        <w:rPr>
          <w:sz w:val="20"/>
          <w:szCs w:val="20"/>
          <w:color w:val="auto"/>
        </w:rPr>
      </w:pPr>
      <w:r>
        <w:rPr>
          <w:rFonts w:ascii="Arial" w:cs="Arial" w:eastAsia="Arial" w:hAnsi="Arial"/>
          <w:sz w:val="13"/>
          <w:szCs w:val="13"/>
          <w:color w:val="auto"/>
        </w:rPr>
        <w:t>The Company is currently an EGC. An EGC may take advantage of reduced reporting requirements and is relieved of certain other significant requirements that are otherwise generally applicable to public companies. Among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opts out of the extended transition period under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459" w:right="1440" w:bottom="1440" w:gutter="0" w:footer="0" w:header="0"/>
        </w:sectPr>
      </w:pPr>
    </w:p>
    <w:bookmarkStart w:id="11" w:name="page12"/>
    <w:bookmarkEnd w:id="11"/>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0"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Recent Accounting Pronouncements</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The following table provides information about Accounting Standard Updates (“ASUs”) the Company anticipates to adopt in the</w:t>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future:</w:t>
      </w:r>
    </w:p>
    <w:p>
      <w:pPr>
        <w:sectPr>
          <w:pgSz w:w="11900" w:h="16838" w:orient="portrait"/>
          <w:cols w:equalWidth="0" w:num="1">
            <w:col w:w="9019"/>
          </w:cols>
          <w:pgMar w:left="1440" w:top="459" w:right="1440" w:bottom="1440" w:gutter="0" w:footer="0" w:header="0"/>
        </w:sectPr>
      </w:pPr>
    </w:p>
    <w:p>
      <w:pPr>
        <w:spacing w:after="0" w:line="10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Standard</w:t>
            </w:r>
          </w:p>
        </w:tc>
        <w:tc>
          <w:tcPr>
            <w:tcW w:w="140" w:type="dxa"/>
            <w:vAlign w:val="bottom"/>
          </w:tcPr>
          <w:p>
            <w:pPr>
              <w:spacing w:after="0"/>
              <w:rPr>
                <w:sz w:val="15"/>
                <w:szCs w:val="15"/>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b w:val="1"/>
                <w:bCs w:val="1"/>
                <w:color w:val="auto"/>
                <w:w w:val="94"/>
              </w:rPr>
              <w:t>Adoption</w:t>
            </w:r>
          </w:p>
        </w:tc>
        <w:tc>
          <w:tcPr>
            <w:tcW w:w="60" w:type="dxa"/>
            <w:vAlign w:val="bottom"/>
          </w:tcPr>
          <w:p>
            <w:pPr>
              <w:spacing w:after="0"/>
              <w:rPr>
                <w:sz w:val="15"/>
                <w:szCs w:val="15"/>
                <w:color w:val="auto"/>
              </w:rPr>
            </w:pPr>
          </w:p>
        </w:tc>
        <w:tc>
          <w:tcPr>
            <w:tcW w:w="1260" w:type="dxa"/>
            <w:vAlign w:val="bottom"/>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spacing w:after="0" w:line="151" w:lineRule="exact"/>
              <w:rPr>
                <w:sz w:val="20"/>
                <w:szCs w:val="20"/>
                <w:color w:val="auto"/>
              </w:rPr>
            </w:pPr>
            <w:r>
              <w:rPr>
                <w:rFonts w:ascii="Arial" w:cs="Arial" w:eastAsia="Arial" w:hAnsi="Arial"/>
                <w:sz w:val="14"/>
                <w:szCs w:val="14"/>
                <w:color w:val="auto"/>
                <w:w w:val="97"/>
              </w:rPr>
              <w:t>ASU 2016-13</w:t>
            </w:r>
          </w:p>
        </w:tc>
        <w:tc>
          <w:tcPr>
            <w:tcW w:w="140" w:type="dxa"/>
            <w:vAlign w:val="bottom"/>
            <w:tcBorders>
              <w:top w:val="single" w:sz="8" w:color="CCEEFF"/>
              <w:left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tcBorders>
            <w:vMerge w:val="restart"/>
            <w:shd w:val="clear" w:color="auto" w:fill="CCEEFF"/>
          </w:tcPr>
          <w:p>
            <w:pPr>
              <w:ind w:left="20"/>
              <w:spacing w:after="0" w:line="151" w:lineRule="exact"/>
              <w:rPr>
                <w:sz w:val="20"/>
                <w:szCs w:val="20"/>
                <w:color w:val="auto"/>
              </w:rPr>
            </w:pPr>
            <w:r>
              <w:rPr>
                <w:rFonts w:ascii="Arial" w:cs="Arial" w:eastAsia="Arial" w:hAnsi="Arial"/>
                <w:sz w:val="14"/>
                <w:szCs w:val="14"/>
                <w:color w:val="auto"/>
                <w:w w:val="94"/>
              </w:rPr>
              <w:t>Requires an entity to</w:t>
            </w: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200" w:type="dxa"/>
            <w:vAlign w:val="bottom"/>
            <w:gridSpan w:val="2"/>
          </w:tcPr>
          <w:p>
            <w:pPr>
              <w:ind w:left="140"/>
              <w:spacing w:after="0" w:line="131" w:lineRule="exact"/>
              <w:rPr>
                <w:sz w:val="20"/>
                <w:szCs w:val="20"/>
                <w:color w:val="auto"/>
              </w:rPr>
            </w:pPr>
            <w:r>
              <w:rPr>
                <w:rFonts w:ascii="Arial" w:cs="Arial" w:eastAsia="Arial" w:hAnsi="Arial"/>
                <w:sz w:val="14"/>
                <w:szCs w:val="14"/>
                <w:color w:val="auto"/>
              </w:rPr>
              <w:t>If the Company</w:t>
            </w:r>
          </w:p>
        </w:tc>
        <w:tc>
          <w:tcPr>
            <w:tcW w:w="60" w:type="dxa"/>
            <w:vAlign w:val="bottom"/>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maintains its</w:t>
            </w:r>
          </w:p>
        </w:tc>
        <w:tc>
          <w:tcPr>
            <w:tcW w:w="60" w:type="dxa"/>
            <w:vAlign w:val="bottom"/>
          </w:tcPr>
          <w:p>
            <w:pPr>
              <w:spacing w:after="0"/>
              <w:rPr>
                <w:sz w:val="13"/>
                <w:szCs w:val="13"/>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utilize a new</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Financial</w:t>
            </w: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EGC status, the</w:t>
            </w:r>
          </w:p>
        </w:tc>
        <w:tc>
          <w:tcPr>
            <w:tcW w:w="60" w:type="dxa"/>
            <w:vAlign w:val="bottom"/>
          </w:tcPr>
          <w:p>
            <w:pPr>
              <w:spacing w:after="0"/>
              <w:rPr>
                <w:sz w:val="13"/>
                <w:szCs w:val="13"/>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model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Instruments-</w:t>
            </w: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Company is not</w:t>
            </w:r>
          </w:p>
        </w:tc>
        <w:tc>
          <w:tcPr>
            <w:tcW w:w="60" w:type="dxa"/>
            <w:vAlign w:val="bottom"/>
          </w:tcPr>
          <w:p>
            <w:pPr>
              <w:spacing w:after="0"/>
              <w:rPr>
                <w:sz w:val="14"/>
                <w:szCs w:val="14"/>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known as the current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w w:val="95"/>
              </w:rPr>
              <w:t>Credit Losses</w:t>
            </w: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required to</w:t>
            </w:r>
          </w:p>
        </w:tc>
        <w:tc>
          <w:tcPr>
            <w:tcW w:w="60" w:type="dxa"/>
            <w:vAlign w:val="bottom"/>
          </w:tcPr>
          <w:p>
            <w:pPr>
              <w:spacing w:after="0"/>
              <w:rPr>
                <w:sz w:val="14"/>
                <w:szCs w:val="14"/>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expected credit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implement this</w:t>
            </w:r>
          </w:p>
        </w:tc>
        <w:tc>
          <w:tcPr>
            <w:tcW w:w="60" w:type="dxa"/>
            <w:vAlign w:val="bottom"/>
          </w:tcPr>
          <w:p>
            <w:pPr>
              <w:spacing w:after="0"/>
              <w:rPr>
                <w:sz w:val="12"/>
                <w:szCs w:val="12"/>
                <w:color w:val="auto"/>
              </w:rPr>
            </w:pPr>
          </w:p>
        </w:tc>
        <w:tc>
          <w:tcPr>
            <w:tcW w:w="1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("CECL") model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standard until</w:t>
            </w:r>
          </w:p>
        </w:tc>
        <w:tc>
          <w:tcPr>
            <w:tcW w:w="60" w:type="dxa"/>
            <w:vAlign w:val="bottom"/>
          </w:tcPr>
          <w:p>
            <w:pPr>
              <w:spacing w:after="0"/>
              <w:rPr>
                <w:sz w:val="14"/>
                <w:szCs w:val="14"/>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 its lifetime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January 2023.</w:t>
            </w:r>
          </w:p>
        </w:tc>
        <w:tc>
          <w:tcPr>
            <w:tcW w:w="60" w:type="dxa"/>
            <w:vAlign w:val="bottom"/>
          </w:tcPr>
          <w:p>
            <w:pPr>
              <w:spacing w:after="0"/>
              <w:rPr>
                <w:sz w:val="13"/>
                <w:szCs w:val="13"/>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expected credit loss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record 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The Company</w:t>
            </w:r>
          </w:p>
        </w:tc>
        <w:tc>
          <w:tcPr>
            <w:tcW w:w="60" w:type="dxa"/>
            <w:vAlign w:val="bottom"/>
          </w:tcPr>
          <w:p>
            <w:pPr>
              <w:spacing w:after="0"/>
              <w:rPr>
                <w:sz w:val="14"/>
                <w:szCs w:val="14"/>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allowance that, when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expects to</w:t>
            </w:r>
          </w:p>
        </w:tc>
        <w:tc>
          <w:tcPr>
            <w:tcW w:w="60" w:type="dxa"/>
            <w:vAlign w:val="bottom"/>
          </w:tcPr>
          <w:p>
            <w:pPr>
              <w:spacing w:after="0"/>
              <w:rPr>
                <w:sz w:val="13"/>
                <w:szCs w:val="13"/>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deducted from</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implement this</w:t>
            </w:r>
          </w:p>
        </w:tc>
        <w:tc>
          <w:tcPr>
            <w:tcW w:w="60" w:type="dxa"/>
            <w:vAlign w:val="bottom"/>
          </w:tcPr>
          <w:p>
            <w:pPr>
              <w:spacing w:after="0"/>
              <w:rPr>
                <w:sz w:val="13"/>
                <w:szCs w:val="13"/>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amortized cost basis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standard on</w:t>
            </w:r>
          </w:p>
        </w:tc>
        <w:tc>
          <w:tcPr>
            <w:tcW w:w="6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w w:val="94"/>
              </w:rPr>
              <w:t>of the financial asset,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w w:val="99"/>
              </w:rPr>
              <w:t>January 1, 2022.</w:t>
            </w:r>
          </w:p>
        </w:tc>
        <w:tc>
          <w:tcPr>
            <w:tcW w:w="6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presents the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 expected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be collected on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financial asset.</w:t>
            </w:r>
          </w:p>
        </w:tc>
        <w:tc>
          <w:tcPr>
            <w:tcW w:w="0" w:type="dxa"/>
            <w:vAlign w:val="bottom"/>
          </w:tcPr>
          <w:p>
            <w:pPr>
              <w:spacing w:after="0"/>
              <w:rPr>
                <w:sz w:val="1"/>
                <w:szCs w:val="1"/>
                <w:color w:val="auto"/>
              </w:rPr>
            </w:pPr>
          </w:p>
        </w:tc>
      </w:tr>
      <w:tr>
        <w:trPr>
          <w:trHeight w:val="3041"/>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Effect on Financial Statements or Other Significant Matters</w:t>
      </w:r>
    </w:p>
    <w:p>
      <w:pPr>
        <w:spacing w:after="0" w:line="24" w:lineRule="exact"/>
        <w:rPr>
          <w:sz w:val="20"/>
          <w:szCs w:val="20"/>
          <w:color w:val="auto"/>
        </w:rPr>
      </w:pPr>
    </w:p>
    <w:p>
      <w:pPr>
        <w:ind w:right="759"/>
        <w:spacing w:after="0" w:line="253" w:lineRule="auto"/>
        <w:rPr>
          <w:sz w:val="20"/>
          <w:szCs w:val="20"/>
          <w:color w:val="auto"/>
        </w:rPr>
      </w:pPr>
      <w:r>
        <w:rPr>
          <w:rFonts w:ascii="Arial" w:cs="Arial" w:eastAsia="Arial" w:hAnsi="Arial"/>
          <w:sz w:val="14"/>
          <w:szCs w:val="14"/>
          <w:color w:val="auto"/>
        </w:rPr>
        <w:t>The Company established a committee to formulate and oversee the implementation process including selection, implementation and testing of third-party software.</w:t>
      </w:r>
    </w:p>
    <w:p>
      <w:pPr>
        <w:spacing w:after="0" w:line="142" w:lineRule="exact"/>
        <w:rPr>
          <w:sz w:val="20"/>
          <w:szCs w:val="20"/>
          <w:color w:val="auto"/>
        </w:rPr>
      </w:pPr>
    </w:p>
    <w:p>
      <w:pPr>
        <w:ind w:right="619"/>
        <w:spacing w:after="0" w:line="270" w:lineRule="auto"/>
        <w:rPr>
          <w:sz w:val="20"/>
          <w:szCs w:val="20"/>
          <w:color w:val="auto"/>
        </w:rPr>
      </w:pPr>
      <w:r>
        <w:rPr>
          <w:rFonts w:ascii="Arial" w:cs="Arial" w:eastAsia="Arial" w:hAnsi="Arial"/>
          <w:sz w:val="13"/>
          <w:szCs w:val="13"/>
          <w:color w:val="auto"/>
        </w:rPr>
        <w:t>The Company began parallel processing with the existing allowance for loan losses model during the first quarter of 2019 recalibrating inputs as necessary. The Company is formulating changes to policies, procedures, disclosures and internal controls that will be necessary to transition to the new standard. A third-party completed validation of the completeness, accuracy and reasonableness of the model in the fourth quarter of 2021.</w:t>
      </w:r>
    </w:p>
    <w:p>
      <w:pPr>
        <w:spacing w:after="0" w:line="133" w:lineRule="exact"/>
        <w:rPr>
          <w:sz w:val="20"/>
          <w:szCs w:val="20"/>
          <w:color w:val="auto"/>
        </w:rPr>
      </w:pPr>
    </w:p>
    <w:p>
      <w:pPr>
        <w:ind w:right="639"/>
        <w:spacing w:after="0" w:line="267" w:lineRule="auto"/>
        <w:rPr>
          <w:sz w:val="20"/>
          <w:szCs w:val="20"/>
          <w:color w:val="auto"/>
        </w:rPr>
      </w:pPr>
      <w:r>
        <w:rPr>
          <w:rFonts w:ascii="Arial" w:cs="Arial" w:eastAsia="Arial" w:hAnsi="Arial"/>
          <w:sz w:val="13"/>
          <w:szCs w:val="13"/>
          <w:color w:val="auto"/>
        </w:rPr>
        <w:t>The Company plans to use a loss-rate ("cohort") method to estimate the expected allowance for credit losses ("ACL") for all loan pools. Upon adoption in 2022, a cumulative-effect adjustment for the change in the ACL will be recognized in retained earnings. Based on our forecasted economic conditions and portfolio balances at September 30, 2021, the adoption of the standard could result in an overall cumulative-effect adjustment of up to a 5% change in the ACL, as compared to our current reserve levels. These results include the adoption of a forecast based on several economic assumptions, including unemployment rates and management judgments. Adoption will not materially impact reporting for debt securities as the Company does not currently own held-to-maturity debt securities within the scope of ASU 2016-13.</w:t>
      </w:r>
    </w:p>
    <w:p>
      <w:pPr>
        <w:spacing w:after="0" w:line="127" w:lineRule="exact"/>
        <w:rPr>
          <w:sz w:val="20"/>
          <w:szCs w:val="20"/>
          <w:color w:val="auto"/>
        </w:rPr>
      </w:pPr>
    </w:p>
    <w:p>
      <w:pPr>
        <w:ind w:right="819"/>
        <w:spacing w:after="0" w:line="261" w:lineRule="auto"/>
        <w:rPr>
          <w:sz w:val="20"/>
          <w:szCs w:val="20"/>
          <w:color w:val="auto"/>
        </w:rPr>
      </w:pPr>
      <w:r>
        <w:rPr>
          <w:rFonts w:ascii="Arial" w:cs="Arial" w:eastAsia="Arial" w:hAnsi="Arial"/>
          <w:sz w:val="14"/>
          <w:szCs w:val="14"/>
          <w:color w:val="auto"/>
        </w:rPr>
        <w:t>The actual impact could be significantly affected by the composition, characteristics, and quality of the underlying loan portfolio and economic assumptions at the time of adoption.</w:t>
      </w:r>
    </w:p>
    <w:p>
      <w:pPr>
        <w:spacing w:after="0" w:line="136" w:lineRule="exact"/>
        <w:rPr>
          <w:sz w:val="20"/>
          <w:szCs w:val="20"/>
          <w:color w:val="auto"/>
        </w:rPr>
      </w:pPr>
    </w:p>
    <w:p>
      <w:pPr>
        <w:ind w:right="639"/>
        <w:spacing w:after="0" w:line="253" w:lineRule="auto"/>
        <w:rPr>
          <w:sz w:val="20"/>
          <w:szCs w:val="20"/>
          <w:color w:val="auto"/>
        </w:rPr>
      </w:pPr>
      <w:r>
        <w:rPr>
          <w:rFonts w:ascii="Arial" w:cs="Arial" w:eastAsia="Arial" w:hAnsi="Arial"/>
          <w:sz w:val="14"/>
          <w:szCs w:val="14"/>
          <w:color w:val="auto"/>
        </w:rPr>
        <w:t>The Company does not expect the adoption to have a significant impact on capital or capital ratios and will continue to evaluate the impact the adoption of ASU 2016-13 will have on the Company's consolidated financial statements.</w:t>
      </w:r>
    </w:p>
    <w:p>
      <w:pPr>
        <w:spacing w:after="0" w:line="769" w:lineRule="exact"/>
        <w:rPr>
          <w:sz w:val="20"/>
          <w:szCs w:val="20"/>
          <w:color w:val="auto"/>
        </w:rPr>
      </w:pPr>
    </w:p>
    <w:p>
      <w:pPr>
        <w:sectPr>
          <w:pgSz w:w="11900" w:h="16838" w:orient="portrait"/>
          <w:cols w:equalWidth="0" w:num="2">
            <w:col w:w="3960" w:space="60"/>
            <w:col w:w="4999"/>
          </w:cols>
          <w:pgMar w:left="144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459" w:right="1440" w:bottom="1440" w:gutter="0" w:footer="0" w:header="0"/>
          <w:type w:val="continuous"/>
        </w:sectPr>
      </w:pPr>
    </w:p>
    <w:bookmarkStart w:id="12" w:name="page13"/>
    <w:bookmarkEnd w:id="12"/>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ectPr>
          <w:pgSz w:w="11900" w:h="16838" w:orient="portrait"/>
          <w:cols w:equalWidth="0" w:num="1">
            <w:col w:w="9019"/>
          </w:cols>
          <w:pgMar w:left="14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b w:val="1"/>
                <w:bCs w:val="1"/>
                <w:color w:val="auto"/>
                <w:w w:val="91"/>
              </w:rPr>
              <w:t>Anticipated</w:t>
            </w: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29"/>
              <w:spacing w:after="0"/>
              <w:rPr>
                <w:sz w:val="20"/>
                <w:szCs w:val="20"/>
                <w:color w:val="auto"/>
              </w:rPr>
            </w:pPr>
            <w:r>
              <w:rPr>
                <w:rFonts w:ascii="Arial" w:cs="Arial" w:eastAsia="Arial" w:hAnsi="Arial"/>
                <w:sz w:val="14"/>
                <w:szCs w:val="14"/>
                <w:b w:val="1"/>
                <w:bCs w:val="1"/>
                <w:color w:val="auto"/>
                <w:w w:val="92"/>
              </w:rPr>
              <w:t>Date of</w:t>
            </w: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5"/>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Standard</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1"/>
              </w:rPr>
              <w:t>Adoption</w:t>
            </w:r>
          </w:p>
        </w:tc>
        <w:tc>
          <w:tcPr>
            <w:tcW w:w="40" w:type="dxa"/>
            <w:vAlign w:val="bottom"/>
          </w:tcPr>
          <w:p>
            <w:pPr>
              <w:spacing w:after="0"/>
              <w:rPr>
                <w:sz w:val="15"/>
                <w:szCs w:val="15"/>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Description</w:t>
            </w:r>
          </w:p>
        </w:tc>
      </w:tr>
      <w:tr>
        <w:trPr>
          <w:trHeight w:val="150"/>
        </w:trPr>
        <w:tc>
          <w:tcPr>
            <w:tcW w:w="960" w:type="dxa"/>
            <w:vAlign w:val="bottom"/>
          </w:tcPr>
          <w:p>
            <w:pPr>
              <w:spacing w:after="0" w:line="151" w:lineRule="exact"/>
              <w:rPr>
                <w:sz w:val="20"/>
                <w:szCs w:val="20"/>
                <w:color w:val="auto"/>
              </w:rPr>
            </w:pPr>
            <w:r>
              <w:rPr>
                <w:rFonts w:ascii="Arial" w:cs="Arial" w:eastAsia="Arial" w:hAnsi="Arial"/>
                <w:sz w:val="14"/>
                <w:szCs w:val="14"/>
                <w:color w:val="auto"/>
              </w:rPr>
              <w:t>ASU 2016-02</w:t>
            </w:r>
          </w:p>
        </w:tc>
        <w:tc>
          <w:tcPr>
            <w:tcW w:w="120" w:type="dxa"/>
            <w:vAlign w:val="bottom"/>
          </w:tcPr>
          <w:p>
            <w:pPr>
              <w:spacing w:after="0"/>
              <w:rPr>
                <w:sz w:val="13"/>
                <w:szCs w:val="13"/>
                <w:color w:val="auto"/>
              </w:rPr>
            </w:pPr>
          </w:p>
        </w:tc>
        <w:tc>
          <w:tcPr>
            <w:tcW w:w="1060" w:type="dxa"/>
            <w:vAlign w:val="bottom"/>
          </w:tcPr>
          <w:p>
            <w:pPr>
              <w:spacing w:after="0" w:line="151" w:lineRule="exact"/>
              <w:rPr>
                <w:sz w:val="20"/>
                <w:szCs w:val="20"/>
                <w:color w:val="auto"/>
              </w:rPr>
            </w:pPr>
            <w:r>
              <w:rPr>
                <w:rFonts w:ascii="Arial" w:cs="Arial" w:eastAsia="Arial" w:hAnsi="Arial"/>
                <w:sz w:val="14"/>
                <w:szCs w:val="14"/>
                <w:color w:val="auto"/>
              </w:rPr>
              <w:t>The Company</w:t>
            </w:r>
          </w:p>
        </w:tc>
        <w:tc>
          <w:tcPr>
            <w:tcW w:w="40" w:type="dxa"/>
            <w:vAlign w:val="bottom"/>
          </w:tcPr>
          <w:p>
            <w:pPr>
              <w:spacing w:after="0"/>
              <w:rPr>
                <w:sz w:val="13"/>
                <w:szCs w:val="13"/>
                <w:color w:val="auto"/>
              </w:rPr>
            </w:pPr>
          </w:p>
        </w:tc>
        <w:tc>
          <w:tcPr>
            <w:tcW w:w="1800" w:type="dxa"/>
            <w:vAlign w:val="bottom"/>
          </w:tcPr>
          <w:p>
            <w:pPr>
              <w:spacing w:after="0" w:line="151" w:lineRule="exact"/>
              <w:rPr>
                <w:sz w:val="20"/>
                <w:szCs w:val="20"/>
                <w:color w:val="auto"/>
              </w:rPr>
            </w:pPr>
            <w:r>
              <w:rPr>
                <w:rFonts w:ascii="Arial" w:cs="Arial" w:eastAsia="Arial" w:hAnsi="Arial"/>
                <w:sz w:val="14"/>
                <w:szCs w:val="14"/>
                <w:color w:val="auto"/>
                <w:w w:val="97"/>
              </w:rPr>
              <w:t>Requires lessees and lessors</w:t>
            </w:r>
          </w:p>
        </w:tc>
      </w:tr>
      <w:tr>
        <w:trPr>
          <w:trHeight w:val="160"/>
        </w:trPr>
        <w:tc>
          <w:tcPr>
            <w:tcW w:w="96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color w:val="auto"/>
              </w:rPr>
              <w:t>expects to</w:t>
            </w:r>
          </w:p>
        </w:tc>
        <w:tc>
          <w:tcPr>
            <w:tcW w:w="1840" w:type="dxa"/>
            <w:vAlign w:val="bottom"/>
            <w:gridSpan w:val="2"/>
          </w:tcPr>
          <w:p>
            <w:pPr>
              <w:ind w:left="40"/>
              <w:spacing w:after="0"/>
              <w:rPr>
                <w:sz w:val="20"/>
                <w:szCs w:val="20"/>
                <w:color w:val="auto"/>
              </w:rPr>
            </w:pPr>
            <w:r>
              <w:rPr>
                <w:rFonts w:ascii="Arial" w:cs="Arial" w:eastAsia="Arial" w:hAnsi="Arial"/>
                <w:sz w:val="14"/>
                <w:szCs w:val="14"/>
                <w:color w:val="auto"/>
                <w:w w:val="96"/>
              </w:rPr>
              <w:t>to recognize lease assets and</w:t>
            </w:r>
          </w:p>
        </w:tc>
      </w:tr>
      <w:tr>
        <w:trPr>
          <w:trHeight w:val="160"/>
        </w:trPr>
        <w:tc>
          <w:tcPr>
            <w:tcW w:w="960" w:type="dxa"/>
            <w:vAlign w:val="bottom"/>
          </w:tcPr>
          <w:p>
            <w:pPr>
              <w:spacing w:after="0"/>
              <w:rPr>
                <w:sz w:val="20"/>
                <w:szCs w:val="20"/>
                <w:color w:val="auto"/>
              </w:rPr>
            </w:pPr>
            <w:r>
              <w:rPr>
                <w:rFonts w:ascii="Arial" w:cs="Arial" w:eastAsia="Arial" w:hAnsi="Arial"/>
                <w:sz w:val="14"/>
                <w:szCs w:val="14"/>
                <w:i w:val="1"/>
                <w:iCs w:val="1"/>
                <w:color w:val="auto"/>
              </w:rPr>
              <w:t>Leases (Topic</w:t>
            </w:r>
          </w:p>
        </w:tc>
        <w:tc>
          <w:tcPr>
            <w:tcW w:w="1180" w:type="dxa"/>
            <w:vAlign w:val="bottom"/>
            <w:gridSpan w:val="2"/>
          </w:tcPr>
          <w:p>
            <w:pPr>
              <w:ind w:left="100"/>
              <w:spacing w:after="0"/>
              <w:rPr>
                <w:sz w:val="20"/>
                <w:szCs w:val="20"/>
                <w:color w:val="auto"/>
              </w:rPr>
            </w:pPr>
            <w:r>
              <w:rPr>
                <w:rFonts w:ascii="Arial" w:cs="Arial" w:eastAsia="Arial" w:hAnsi="Arial"/>
                <w:sz w:val="14"/>
                <w:szCs w:val="14"/>
                <w:color w:val="auto"/>
              </w:rPr>
              <w:t>implement this</w:t>
            </w:r>
          </w:p>
        </w:tc>
        <w:tc>
          <w:tcPr>
            <w:tcW w:w="1840" w:type="dxa"/>
            <w:vAlign w:val="bottom"/>
            <w:gridSpan w:val="2"/>
          </w:tcPr>
          <w:p>
            <w:pPr>
              <w:ind w:left="40"/>
              <w:spacing w:after="0"/>
              <w:rPr>
                <w:sz w:val="20"/>
                <w:szCs w:val="20"/>
                <w:color w:val="auto"/>
              </w:rPr>
            </w:pPr>
            <w:r>
              <w:rPr>
                <w:rFonts w:ascii="Arial" w:cs="Arial" w:eastAsia="Arial" w:hAnsi="Arial"/>
                <w:sz w:val="14"/>
                <w:szCs w:val="14"/>
                <w:color w:val="auto"/>
                <w:w w:val="95"/>
              </w:rPr>
              <w:t>lease liabilities on the balance</w:t>
            </w:r>
          </w:p>
        </w:tc>
      </w:tr>
      <w:tr>
        <w:trPr>
          <w:trHeight w:val="171"/>
        </w:trPr>
        <w:tc>
          <w:tcPr>
            <w:tcW w:w="960" w:type="dxa"/>
            <w:vAlign w:val="bottom"/>
          </w:tcPr>
          <w:p>
            <w:pPr>
              <w:spacing w:after="0"/>
              <w:rPr>
                <w:sz w:val="20"/>
                <w:szCs w:val="20"/>
                <w:color w:val="auto"/>
              </w:rPr>
            </w:pPr>
            <w:r>
              <w:rPr>
                <w:rFonts w:ascii="Arial" w:cs="Arial" w:eastAsia="Arial" w:hAnsi="Arial"/>
                <w:sz w:val="14"/>
                <w:szCs w:val="14"/>
                <w:i w:val="1"/>
                <w:iCs w:val="1"/>
                <w:color w:val="auto"/>
              </w:rPr>
              <w:t>842)</w:t>
            </w:r>
          </w:p>
        </w:tc>
        <w:tc>
          <w:tcPr>
            <w:tcW w:w="1180" w:type="dxa"/>
            <w:vAlign w:val="bottom"/>
            <w:gridSpan w:val="2"/>
          </w:tcPr>
          <w:p>
            <w:pPr>
              <w:ind w:left="100"/>
              <w:spacing w:after="0"/>
              <w:rPr>
                <w:sz w:val="20"/>
                <w:szCs w:val="20"/>
                <w:color w:val="auto"/>
              </w:rPr>
            </w:pPr>
            <w:r>
              <w:rPr>
                <w:rFonts w:ascii="Arial" w:cs="Arial" w:eastAsia="Arial" w:hAnsi="Arial"/>
                <w:sz w:val="14"/>
                <w:szCs w:val="14"/>
                <w:color w:val="auto"/>
              </w:rPr>
              <w:t>standard on</w:t>
            </w: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sheet and disclose key</w:t>
            </w:r>
          </w:p>
        </w:tc>
      </w:tr>
      <w:tr>
        <w:trPr>
          <w:trHeight w:val="160"/>
        </w:trPr>
        <w:tc>
          <w:tcPr>
            <w:tcW w:w="96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color w:val="auto"/>
              </w:rPr>
              <w:t>January 1, 2022.</w:t>
            </w: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information about leasing</w:t>
            </w:r>
          </w:p>
        </w:tc>
      </w:tr>
      <w:tr>
        <w:trPr>
          <w:trHeight w:val="181"/>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arrangements.</w:t>
            </w:r>
          </w:p>
        </w:tc>
      </w:tr>
      <w:tr>
        <w:trPr>
          <w:trHeight w:val="310"/>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The update requires lessees</w:t>
            </w:r>
          </w:p>
        </w:tc>
      </w:tr>
      <w:tr>
        <w:trPr>
          <w:trHeight w:val="16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w w:val="99"/>
              </w:rPr>
              <w:t>and lessors to recognize and</w:t>
            </w:r>
          </w:p>
        </w:tc>
      </w:tr>
      <w:tr>
        <w:trPr>
          <w:trHeight w:val="171"/>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measure leases at the</w:t>
            </w:r>
          </w:p>
        </w:tc>
      </w:tr>
      <w:tr>
        <w:trPr>
          <w:trHeight w:val="16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beginning of the earliest</w:t>
            </w:r>
          </w:p>
        </w:tc>
      </w:tr>
      <w:tr>
        <w:trPr>
          <w:trHeight w:val="16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period presented using a</w:t>
            </w:r>
          </w:p>
        </w:tc>
      </w:tr>
      <w:tr>
        <w:trPr>
          <w:trHeight w:val="171"/>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modified retrospective</w:t>
            </w:r>
          </w:p>
        </w:tc>
      </w:tr>
      <w:tr>
        <w:trPr>
          <w:trHeight w:val="16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approach with the option to</w:t>
            </w:r>
          </w:p>
        </w:tc>
      </w:tr>
      <w:tr>
        <w:trPr>
          <w:trHeight w:val="16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elect certain practical</w:t>
            </w:r>
          </w:p>
        </w:tc>
      </w:tr>
      <w:tr>
        <w:trPr>
          <w:trHeight w:val="171"/>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expedients. The update will</w:t>
            </w:r>
          </w:p>
        </w:tc>
      </w:tr>
      <w:tr>
        <w:trPr>
          <w:trHeight w:val="16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also increase disclosures</w:t>
            </w:r>
          </w:p>
        </w:tc>
      </w:tr>
      <w:tr>
        <w:trPr>
          <w:trHeight w:val="160"/>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around leases, including</w:t>
            </w:r>
          </w:p>
        </w:tc>
      </w:tr>
      <w:tr>
        <w:trPr>
          <w:trHeight w:val="171"/>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qualitative and specific</w:t>
            </w:r>
          </w:p>
        </w:tc>
      </w:tr>
      <w:tr>
        <w:trPr>
          <w:trHeight w:val="181"/>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tcPr>
          <w:p>
            <w:pPr>
              <w:ind w:left="40"/>
              <w:spacing w:after="0"/>
              <w:rPr>
                <w:sz w:val="20"/>
                <w:szCs w:val="20"/>
                <w:color w:val="auto"/>
              </w:rPr>
            </w:pPr>
            <w:r>
              <w:rPr>
                <w:rFonts w:ascii="Arial" w:cs="Arial" w:eastAsia="Arial" w:hAnsi="Arial"/>
                <w:sz w:val="14"/>
                <w:szCs w:val="14"/>
                <w:color w:val="auto"/>
              </w:rPr>
              <w:t>quantitative measures.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Effect on Financial Statements or Other Significant Matters</w:t>
      </w:r>
    </w:p>
    <w:p>
      <w:pPr>
        <w:spacing w:after="0" w:line="36" w:lineRule="exact"/>
        <w:rPr>
          <w:sz w:val="20"/>
          <w:szCs w:val="20"/>
          <w:color w:val="auto"/>
        </w:rPr>
      </w:pPr>
    </w:p>
    <w:p>
      <w:pPr>
        <w:ind w:right="799"/>
        <w:spacing w:after="0" w:line="248" w:lineRule="auto"/>
        <w:rPr>
          <w:sz w:val="20"/>
          <w:szCs w:val="20"/>
          <w:color w:val="auto"/>
        </w:rPr>
      </w:pPr>
      <w:r>
        <w:rPr>
          <w:rFonts w:ascii="Arial" w:cs="Arial" w:eastAsia="Arial" w:hAnsi="Arial"/>
          <w:sz w:val="14"/>
          <w:szCs w:val="14"/>
          <w:color w:val="auto"/>
        </w:rPr>
        <w:t>The Company expects to apply the update as of the beginning of the period of adoption and the Company does not plan to restate comparative periods. The Company expects to elect certain optional practical expedients.</w:t>
      </w:r>
    </w:p>
    <w:p>
      <w:pPr>
        <w:spacing w:after="0" w:line="146" w:lineRule="exact"/>
        <w:rPr>
          <w:sz w:val="20"/>
          <w:szCs w:val="20"/>
          <w:color w:val="auto"/>
        </w:rPr>
      </w:pPr>
    </w:p>
    <w:p>
      <w:pPr>
        <w:ind w:right="839"/>
        <w:spacing w:after="0" w:line="261" w:lineRule="auto"/>
        <w:rPr>
          <w:sz w:val="20"/>
          <w:szCs w:val="20"/>
          <w:color w:val="auto"/>
        </w:rPr>
      </w:pPr>
      <w:r>
        <w:rPr>
          <w:rFonts w:ascii="Arial" w:cs="Arial" w:eastAsia="Arial" w:hAnsi="Arial"/>
          <w:sz w:val="14"/>
          <w:szCs w:val="14"/>
          <w:color w:val="auto"/>
        </w:rPr>
        <w:t>The Company gathered all potential lease and embedded lease agreements and is evaluating the applicability and impact to the financial statements.</w:t>
      </w:r>
    </w:p>
    <w:p>
      <w:pPr>
        <w:spacing w:after="0" w:line="126" w:lineRule="exact"/>
        <w:rPr>
          <w:sz w:val="20"/>
          <w:szCs w:val="20"/>
          <w:color w:val="auto"/>
        </w:rPr>
      </w:pPr>
    </w:p>
    <w:p>
      <w:pPr>
        <w:ind w:right="699"/>
        <w:spacing w:after="0" w:line="271" w:lineRule="auto"/>
        <w:rPr>
          <w:sz w:val="20"/>
          <w:szCs w:val="20"/>
          <w:color w:val="auto"/>
        </w:rPr>
      </w:pPr>
      <w:r>
        <w:rPr>
          <w:rFonts w:ascii="Arial" w:cs="Arial" w:eastAsia="Arial" w:hAnsi="Arial"/>
          <w:sz w:val="13"/>
          <w:szCs w:val="13"/>
          <w:color w:val="auto"/>
        </w:rPr>
        <w:t>The Company’s current operating leases relate primarily to four branch locations. Based on the current leases, the Company anticipates recognizing a lease liability and related right-to-use asset on its balance sheet, with an immaterial impact to its income statement compared to the current lease accounting model. However, the ultimate impact of the standard will depend on the Company's lease portfolio as of the adoption date.</w:t>
      </w:r>
    </w:p>
    <w:p>
      <w:pPr>
        <w:spacing w:after="0" w:line="842" w:lineRule="exact"/>
        <w:rPr>
          <w:sz w:val="20"/>
          <w:szCs w:val="20"/>
          <w:color w:val="auto"/>
        </w:rPr>
      </w:pPr>
    </w:p>
    <w:p>
      <w:pPr>
        <w:sectPr>
          <w:pgSz w:w="11900" w:h="16838" w:orient="portrait"/>
          <w:cols w:equalWidth="0" w:num="2">
            <w:col w:w="4500" w:space="40"/>
            <w:col w:w="4479"/>
          </w:cols>
          <w:pgMar w:left="1440" w:top="459" w:right="1440"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Note 2: Earnings Per Share</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gridSpan w:val="9"/>
          </w:tcPr>
          <w:p>
            <w:pPr>
              <w:ind w:left="280"/>
              <w:spacing w:after="0"/>
              <w:rPr>
                <w:sz w:val="20"/>
                <w:szCs w:val="20"/>
                <w:color w:val="auto"/>
              </w:rPr>
            </w:pPr>
            <w:r>
              <w:rPr>
                <w:rFonts w:ascii="Arial" w:cs="Arial" w:eastAsia="Arial" w:hAnsi="Arial"/>
                <w:sz w:val="14"/>
                <w:szCs w:val="14"/>
                <w:color w:val="auto"/>
              </w:rPr>
              <w:t>The following table presents the computation of basic and diluted earnings per share: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gridSpan w:val="12"/>
          </w:tcPr>
          <w:p>
            <w:pPr>
              <w:jc w:val="right"/>
              <w:ind w:right="60"/>
              <w:spacing w:after="0"/>
              <w:rPr>
                <w:sz w:val="20"/>
                <w:szCs w:val="20"/>
                <w:color w:val="auto"/>
              </w:rPr>
            </w:pPr>
            <w:r>
              <w:rPr>
                <w:rFonts w:ascii="Arial" w:cs="Arial" w:eastAsia="Arial" w:hAnsi="Arial"/>
                <w:sz w:val="13"/>
                <w:szCs w:val="13"/>
                <w:i w:val="1"/>
                <w:iCs w:val="1"/>
                <w:color w:val="auto"/>
              </w:rPr>
              <w:t>(Dollars in thousands except per share data)</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Earnings per Share</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600" w:type="dxa"/>
            <w:vAlign w:val="bottom"/>
            <w:gridSpan w:val="2"/>
          </w:tcPr>
          <w:p>
            <w:pPr>
              <w:ind w:left="60"/>
              <w:spacing w:after="0"/>
              <w:rPr>
                <w:sz w:val="20"/>
                <w:szCs w:val="20"/>
                <w:color w:val="auto"/>
              </w:rPr>
            </w:pPr>
            <w:r>
              <w:rPr>
                <w:rFonts w:ascii="Arial" w:cs="Arial" w:eastAsia="Arial" w:hAnsi="Arial"/>
                <w:sz w:val="14"/>
                <w:szCs w:val="14"/>
                <w:color w:val="auto"/>
              </w:rPr>
              <w:t>Net income available to common stockholders</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21,000</w:t>
            </w:r>
          </w:p>
        </w:tc>
        <w:tc>
          <w:tcPr>
            <w:tcW w:w="40" w:type="dxa"/>
            <w:vAlign w:val="bottom"/>
          </w:tcPr>
          <w:p>
            <w:pPr>
              <w:spacing w:after="0"/>
              <w:rPr>
                <w:sz w:val="15"/>
                <w:szCs w:val="15"/>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8,006</w:t>
            </w:r>
          </w:p>
        </w:tc>
        <w:tc>
          <w:tcPr>
            <w:tcW w:w="4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48,612</w:t>
            </w:r>
          </w:p>
        </w:tc>
        <w:tc>
          <w:tcPr>
            <w:tcW w:w="4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common shares</w:t>
            </w: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50,990,113</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52,136,286</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51,368,957</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52,104,372</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auto"/>
              </w:rPr>
              <w:t>Earnings per share</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0.41</w:t>
            </w:r>
          </w:p>
        </w:tc>
        <w:tc>
          <w:tcPr>
            <w:tcW w:w="4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0.15</w:t>
            </w:r>
          </w:p>
        </w:tc>
        <w:tc>
          <w:tcPr>
            <w:tcW w:w="4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0.95</w:t>
            </w:r>
          </w:p>
        </w:tc>
        <w:tc>
          <w:tcPr>
            <w:tcW w:w="4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600" w:type="dxa"/>
            <w:vAlign w:val="bottom"/>
            <w:tcBorders>
              <w:top w:val="single" w:sz="8" w:color="CCEEFF"/>
            </w:tcBorders>
            <w:gridSpan w:val="2"/>
            <w:shd w:val="clear" w:color="auto" w:fill="CCEEFF"/>
          </w:tcPr>
          <w:p>
            <w:pPr>
              <w:spacing w:after="0" w:line="134" w:lineRule="exact"/>
              <w:rPr>
                <w:sz w:val="20"/>
                <w:szCs w:val="20"/>
                <w:color w:val="auto"/>
              </w:rPr>
            </w:pPr>
            <w:r>
              <w:rPr>
                <w:rFonts w:ascii="Arial" w:cs="Arial" w:eastAsia="Arial" w:hAnsi="Arial"/>
                <w:sz w:val="14"/>
                <w:szCs w:val="14"/>
                <w:b w:val="1"/>
                <w:bCs w:val="1"/>
                <w:color w:val="auto"/>
              </w:rPr>
              <w:t>Diluted Earnings per Share</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600" w:type="dxa"/>
            <w:vAlign w:val="bottom"/>
            <w:gridSpan w:val="2"/>
          </w:tcPr>
          <w:p>
            <w:pPr>
              <w:ind w:left="60"/>
              <w:spacing w:after="0"/>
              <w:rPr>
                <w:sz w:val="20"/>
                <w:szCs w:val="20"/>
                <w:color w:val="auto"/>
              </w:rPr>
            </w:pPr>
            <w:r>
              <w:rPr>
                <w:rFonts w:ascii="Arial" w:cs="Arial" w:eastAsia="Arial" w:hAnsi="Arial"/>
                <w:sz w:val="14"/>
                <w:szCs w:val="14"/>
                <w:color w:val="auto"/>
              </w:rPr>
              <w:t>Net income available to common stockholders</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21,000</w:t>
            </w:r>
          </w:p>
        </w:tc>
        <w:tc>
          <w:tcPr>
            <w:tcW w:w="40" w:type="dxa"/>
            <w:vAlign w:val="bottom"/>
          </w:tcPr>
          <w:p>
            <w:pPr>
              <w:spacing w:after="0"/>
              <w:rPr>
                <w:sz w:val="15"/>
                <w:szCs w:val="15"/>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8,006</w:t>
            </w:r>
          </w:p>
        </w:tc>
        <w:tc>
          <w:tcPr>
            <w:tcW w:w="4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48,612</w:t>
            </w:r>
          </w:p>
        </w:tc>
        <w:tc>
          <w:tcPr>
            <w:tcW w:w="4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common shares</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50,990,113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52,136,286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51,368,957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52,104,372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60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Effect of dilutive shares</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615,608</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423,840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699,257</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463,219</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dilutive common shares</w:t>
            </w:r>
          </w:p>
        </w:tc>
        <w:tc>
          <w:tcPr>
            <w:tcW w:w="2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51,605,721</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52,560,126</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52,068,214</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52,567,591</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tcPr>
          <w:p>
            <w:pPr>
              <w:ind w:left="60"/>
              <w:spacing w:after="0"/>
              <w:rPr>
                <w:sz w:val="20"/>
                <w:szCs w:val="20"/>
                <w:color w:val="auto"/>
              </w:rPr>
            </w:pPr>
            <w:r>
              <w:rPr>
                <w:rFonts w:ascii="Arial" w:cs="Arial" w:eastAsia="Arial" w:hAnsi="Arial"/>
                <w:sz w:val="14"/>
                <w:szCs w:val="14"/>
                <w:color w:val="auto"/>
              </w:rPr>
              <w:t>Diluted earnings per share</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0.41</w:t>
            </w:r>
          </w:p>
        </w:tc>
        <w:tc>
          <w:tcPr>
            <w:tcW w:w="4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0.15</w:t>
            </w:r>
          </w:p>
        </w:tc>
        <w:tc>
          <w:tcPr>
            <w:tcW w:w="4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0.93</w:t>
            </w:r>
          </w:p>
        </w:tc>
        <w:tc>
          <w:tcPr>
            <w:tcW w:w="4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360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3"/>
                <w:szCs w:val="13"/>
                <w:color w:val="auto"/>
              </w:rPr>
              <w:t>Stock-based awards not included because to do so would be</w:t>
            </w:r>
          </w:p>
        </w:tc>
        <w:tc>
          <w:tcPr>
            <w:tcW w:w="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587,200</w:t>
            </w: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1,214,433</w:t>
            </w: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657,887</w:t>
            </w: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1,053,393</w:t>
            </w:r>
          </w:p>
        </w:tc>
        <w:tc>
          <w:tcPr>
            <w:tcW w:w="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36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antidilutive</w:t>
            </w:r>
          </w:p>
        </w:tc>
        <w:tc>
          <w:tcPr>
            <w:tcW w:w="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36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459" w:right="1440" w:bottom="1440" w:gutter="0" w:footer="0" w:header="0"/>
          <w:type w:val="continuous"/>
        </w:sectPr>
      </w:pPr>
    </w:p>
    <w:bookmarkStart w:id="13" w:name="page14"/>
    <w:bookmarkEnd w:id="13"/>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Note 3: Securities</w:t>
      </w:r>
    </w:p>
    <w:p>
      <w:pPr>
        <w:spacing w:after="0" w:line="177" w:lineRule="exact"/>
        <w:rPr>
          <w:sz w:val="20"/>
          <w:szCs w:val="20"/>
          <w:color w:val="auto"/>
        </w:rPr>
      </w:pPr>
    </w:p>
    <w:p>
      <w:pPr>
        <w:ind w:left="640" w:right="679" w:firstLine="395"/>
        <w:spacing w:after="0" w:line="307" w:lineRule="auto"/>
        <w:rPr>
          <w:sz w:val="20"/>
          <w:szCs w:val="20"/>
          <w:color w:val="auto"/>
        </w:rPr>
      </w:pPr>
      <w:r>
        <w:rPr>
          <w:rFonts w:ascii="Arial" w:cs="Arial" w:eastAsia="Arial" w:hAnsi="Arial"/>
          <w:sz w:val="14"/>
          <w:szCs w:val="14"/>
          <w:color w:val="auto"/>
        </w:rPr>
        <w:t>The amortized cost and approximate fair values, together with gross unrealized gains and losses, of period end available-for-sale securities consisted of the following:</w:t>
      </w:r>
    </w:p>
    <w:tbl>
      <w:tblPr>
        <w:tblLayout w:type="fixed"/>
        <w:tblInd w:w="620" w:type="dxa"/>
        <w:tblCellMar>
          <w:top w:w="0" w:type="dxa"/>
          <w:left w:w="0" w:type="dxa"/>
          <w:bottom w:w="0" w:type="dxa"/>
          <w:right w:w="0" w:type="dxa"/>
        </w:tblCellMar>
      </w:tblPr>
      <w:tr>
        <w:trPr>
          <w:trHeight w:val="191"/>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8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ind w:right="69"/>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0"/>
        </w:trPr>
        <w:tc>
          <w:tcPr>
            <w:tcW w:w="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Amortized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ind w:right="69"/>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3"/>
              </w:rPr>
              <w:t>Approximate</w:t>
            </w:r>
          </w:p>
        </w:tc>
      </w:tr>
      <w:tr>
        <w:trPr>
          <w:trHeight w:val="175"/>
        </w:trPr>
        <w:tc>
          <w:tcPr>
            <w:tcW w:w="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5"/>
              </w:rPr>
              <w:t>Fair Value</w:t>
            </w:r>
          </w:p>
        </w:tc>
      </w:tr>
      <w:tr>
        <w:trPr>
          <w:trHeight w:val="178"/>
        </w:trPr>
        <w:tc>
          <w:tcPr>
            <w:tcW w:w="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tcPr>
          <w:p>
            <w:pPr>
              <w:ind w:left="260"/>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3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Available-for-sale securities</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auto"/>
              </w:rPr>
              <w:t>Mortgage-backed - GSE residential</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132,059</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2,326</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1,421</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132,964</w:t>
            </w:r>
          </w:p>
        </w:tc>
      </w:tr>
      <w:tr>
        <w:trPr>
          <w:trHeight w:val="181"/>
        </w:trPr>
        <w:tc>
          <w:tcPr>
            <w:tcW w:w="40" w:type="dxa"/>
            <w:vAlign w:val="bottom"/>
          </w:tcPr>
          <w:p>
            <w:pPr>
              <w:spacing w:after="0"/>
              <w:rPr>
                <w:sz w:val="15"/>
                <w:szCs w:val="15"/>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6"/>
              </w:rPr>
              <w:t>Collateralized mortgage obligations - GSE residential</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22,122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22,604</w:t>
            </w:r>
          </w:p>
        </w:tc>
      </w:tr>
      <w:tr>
        <w:trPr>
          <w:trHeight w:val="181"/>
        </w:trPr>
        <w:tc>
          <w:tcPr>
            <w:tcW w:w="40" w:type="dxa"/>
            <w:vAlign w:val="bottom"/>
          </w:tcPr>
          <w:p>
            <w:pPr>
              <w:spacing w:after="0"/>
              <w:rPr>
                <w:sz w:val="15"/>
                <w:szCs w:val="15"/>
                <w:color w:val="auto"/>
              </w:rPr>
            </w:pPr>
          </w:p>
        </w:tc>
        <w:tc>
          <w:tcPr>
            <w:tcW w:w="3420" w:type="dxa"/>
            <w:vAlign w:val="bottom"/>
          </w:tcPr>
          <w:p>
            <w:pPr>
              <w:ind w:left="180"/>
              <w:spacing w:after="0"/>
              <w:rPr>
                <w:sz w:val="20"/>
                <w:szCs w:val="20"/>
                <w:color w:val="auto"/>
              </w:rPr>
            </w:pPr>
            <w:r>
              <w:rPr>
                <w:rFonts w:ascii="Arial" w:cs="Arial" w:eastAsia="Arial" w:hAnsi="Arial"/>
                <w:sz w:val="14"/>
                <w:szCs w:val="14"/>
                <w:color w:val="auto"/>
              </w:rPr>
              <w:t>State and political subdivisions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523,324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27,922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2,968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548,278</w:t>
            </w:r>
          </w:p>
        </w:tc>
      </w:tr>
      <w:tr>
        <w:trPr>
          <w:trHeight w:val="181"/>
        </w:trPr>
        <w:tc>
          <w:tcPr>
            <w:tcW w:w="40" w:type="dxa"/>
            <w:vAlign w:val="bottom"/>
          </w:tcPr>
          <w:p>
            <w:pPr>
              <w:spacing w:after="0"/>
              <w:rPr>
                <w:sz w:val="15"/>
                <w:szCs w:val="15"/>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bonds</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4,242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4,260</w:t>
            </w:r>
          </w:p>
        </w:tc>
      </w:tr>
      <w:tr>
        <w:trPr>
          <w:trHeight w:val="172"/>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Total available-for-sale securities</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681,747</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30,831</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4,472</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708,106</w:t>
            </w: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08"/>
        </w:trPr>
        <w:tc>
          <w:tcPr>
            <w:tcW w:w="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8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ind w:right="8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0"/>
        </w:trPr>
        <w:tc>
          <w:tcPr>
            <w:tcW w:w="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Amortized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ind w:right="69"/>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center"/>
              <w:ind w:right="49"/>
              <w:spacing w:after="0"/>
              <w:rPr>
                <w:sz w:val="20"/>
                <w:szCs w:val="20"/>
                <w:color w:val="auto"/>
              </w:rPr>
            </w:pPr>
            <w:r>
              <w:rPr>
                <w:rFonts w:ascii="Arial" w:cs="Arial" w:eastAsia="Arial" w:hAnsi="Arial"/>
                <w:sz w:val="14"/>
                <w:szCs w:val="14"/>
                <w:b w:val="1"/>
                <w:bCs w:val="1"/>
                <w:color w:val="auto"/>
                <w:w w:val="93"/>
              </w:rPr>
              <w:t>Approximate</w:t>
            </w:r>
          </w:p>
        </w:tc>
      </w:tr>
      <w:tr>
        <w:trPr>
          <w:trHeight w:val="175"/>
        </w:trPr>
        <w:tc>
          <w:tcPr>
            <w:tcW w:w="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5"/>
              </w:rPr>
              <w:t>Fair Value</w:t>
            </w:r>
          </w:p>
        </w:tc>
      </w:tr>
      <w:tr>
        <w:trPr>
          <w:trHeight w:val="167"/>
        </w:trPr>
        <w:tc>
          <w:tcPr>
            <w:tcW w:w="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ind w:left="260"/>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6"/>
        </w:trPr>
        <w:tc>
          <w:tcPr>
            <w:tcW w:w="40" w:type="dxa"/>
            <w:vAlign w:val="bottom"/>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Available-for-sale securities</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1"/>
        </w:trPr>
        <w:tc>
          <w:tcPr>
            <w:tcW w:w="40" w:type="dxa"/>
            <w:vAlign w:val="bottom"/>
          </w:tcPr>
          <w:p>
            <w:pPr>
              <w:spacing w:after="0"/>
              <w:rPr>
                <w:sz w:val="15"/>
                <w:szCs w:val="15"/>
                <w:color w:val="auto"/>
              </w:rPr>
            </w:pPr>
          </w:p>
        </w:tc>
        <w:tc>
          <w:tcPr>
            <w:tcW w:w="3420" w:type="dxa"/>
            <w:vAlign w:val="bottom"/>
          </w:tcPr>
          <w:p>
            <w:pPr>
              <w:ind w:left="160"/>
              <w:spacing w:after="0"/>
              <w:rPr>
                <w:sz w:val="20"/>
                <w:szCs w:val="20"/>
                <w:color w:val="auto"/>
              </w:rPr>
            </w:pPr>
            <w:r>
              <w:rPr>
                <w:rFonts w:ascii="Arial" w:cs="Arial" w:eastAsia="Arial" w:hAnsi="Arial"/>
                <w:sz w:val="14"/>
                <w:szCs w:val="14"/>
                <w:color w:val="auto"/>
              </w:rPr>
              <w:t>Mortgage-backed - GSE residential</w:t>
            </w:r>
          </w:p>
        </w:tc>
        <w:tc>
          <w:tcPr>
            <w:tcW w:w="30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104,839</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4,277</w:t>
            </w:r>
          </w:p>
        </w:tc>
        <w:tc>
          <w:tcPr>
            <w:tcW w:w="160" w:type="dxa"/>
            <w:vAlign w:val="bottom"/>
            <w:gridSpan w:val="3"/>
          </w:tcPr>
          <w:p>
            <w:pPr>
              <w:jc w:val="right"/>
              <w:ind w:right="15"/>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109,116</w:t>
            </w:r>
          </w:p>
        </w:tc>
      </w:tr>
      <w:tr>
        <w:trPr>
          <w:trHeight w:val="181"/>
        </w:trPr>
        <w:tc>
          <w:tcPr>
            <w:tcW w:w="40" w:type="dxa"/>
            <w:vAlign w:val="bottom"/>
          </w:tcPr>
          <w:p>
            <w:pPr>
              <w:spacing w:after="0"/>
              <w:rPr>
                <w:sz w:val="15"/>
                <w:szCs w:val="15"/>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7"/>
              </w:rPr>
              <w:t>Collateralized mortgage obligations - GSE residential</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52,070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984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53,012</w:t>
            </w:r>
          </w:p>
        </w:tc>
      </w:tr>
      <w:tr>
        <w:trPr>
          <w:trHeight w:val="181"/>
        </w:trPr>
        <w:tc>
          <w:tcPr>
            <w:tcW w:w="40" w:type="dxa"/>
            <w:vAlign w:val="bottom"/>
          </w:tcPr>
          <w:p>
            <w:pPr>
              <w:spacing w:after="0"/>
              <w:rPr>
                <w:sz w:val="15"/>
                <w:szCs w:val="15"/>
                <w:color w:val="auto"/>
              </w:rPr>
            </w:pPr>
          </w:p>
        </w:tc>
        <w:tc>
          <w:tcPr>
            <w:tcW w:w="3420" w:type="dxa"/>
            <w:vAlign w:val="bottom"/>
          </w:tcPr>
          <w:p>
            <w:pPr>
              <w:ind w:left="160"/>
              <w:spacing w:after="0"/>
              <w:rPr>
                <w:sz w:val="20"/>
                <w:szCs w:val="20"/>
                <w:color w:val="auto"/>
              </w:rPr>
            </w:pPr>
            <w:r>
              <w:rPr>
                <w:rFonts w:ascii="Arial" w:cs="Arial" w:eastAsia="Arial" w:hAnsi="Arial"/>
                <w:sz w:val="14"/>
                <w:szCs w:val="14"/>
                <w:color w:val="auto"/>
              </w:rPr>
              <w:t>State and political subdivisions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454,486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33,642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488,097</w:t>
            </w:r>
          </w:p>
        </w:tc>
      </w:tr>
      <w:tr>
        <w:trPr>
          <w:trHeight w:val="171"/>
        </w:trPr>
        <w:tc>
          <w:tcPr>
            <w:tcW w:w="40" w:type="dxa"/>
            <w:vAlign w:val="bottom"/>
          </w:tcPr>
          <w:p>
            <w:pPr>
              <w:spacing w:after="0"/>
              <w:rPr>
                <w:sz w:val="14"/>
                <w:szCs w:val="14"/>
                <w:color w:val="auto"/>
              </w:rPr>
            </w:pPr>
          </w:p>
        </w:tc>
        <w:tc>
          <w:tcPr>
            <w:tcW w:w="3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Corporate bonds</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4,259</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104</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4,363</w:t>
            </w:r>
          </w:p>
        </w:tc>
      </w:tr>
      <w:tr>
        <w:trPr>
          <w:trHeight w:val="183"/>
        </w:trPr>
        <w:tc>
          <w:tcPr>
            <w:tcW w:w="3460" w:type="dxa"/>
            <w:vAlign w:val="bottom"/>
            <w:gridSpan w:val="2"/>
          </w:tcPr>
          <w:p>
            <w:pPr>
              <w:spacing w:after="0"/>
              <w:rPr>
                <w:sz w:val="20"/>
                <w:szCs w:val="20"/>
                <w:color w:val="auto"/>
              </w:rPr>
            </w:pPr>
            <w:r>
              <w:rPr>
                <w:rFonts w:ascii="Arial" w:cs="Arial" w:eastAsia="Arial" w:hAnsi="Arial"/>
                <w:sz w:val="14"/>
                <w:szCs w:val="14"/>
                <w:color w:val="auto"/>
              </w:rPr>
              <w:t>Total available-for-sale securities</w:t>
            </w:r>
          </w:p>
        </w:tc>
        <w:tc>
          <w:tcPr>
            <w:tcW w:w="30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615,654</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39,007</w:t>
            </w:r>
          </w:p>
        </w:tc>
        <w:tc>
          <w:tcPr>
            <w:tcW w:w="160" w:type="dxa"/>
            <w:vAlign w:val="bottom"/>
            <w:gridSpan w:val="3"/>
          </w:tcPr>
          <w:p>
            <w:pPr>
              <w:jc w:val="right"/>
              <w:ind w:right="15"/>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73</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654,588</w:t>
            </w: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459" w:right="1440"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161"/>
        </w:trPr>
        <w:tc>
          <w:tcPr>
            <w:tcW w:w="2240" w:type="dxa"/>
            <w:vAlign w:val="bottom"/>
            <w:gridSpan w:val="4"/>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3380" w:type="dxa"/>
            <w:vAlign w:val="bottom"/>
            <w:gridSpan w:val="17"/>
          </w:tcPr>
          <w:p>
            <w:pPr>
              <w:jc w:val="right"/>
              <w:ind w:right="29"/>
              <w:spacing w:after="0"/>
              <w:rPr>
                <w:sz w:val="20"/>
                <w:szCs w:val="20"/>
                <w:color w:val="auto"/>
              </w:rPr>
            </w:pPr>
            <w:r>
              <w:rPr>
                <w:rFonts w:ascii="Arial" w:cs="Arial" w:eastAsia="Arial" w:hAnsi="Arial"/>
                <w:sz w:val="14"/>
                <w:szCs w:val="14"/>
                <w:color w:val="auto"/>
                <w:w w:val="93"/>
              </w:rPr>
              <w:t>Notes to Consolidated Financial Statements (unaudited)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6640" w:type="dxa"/>
            <w:vAlign w:val="bottom"/>
            <w:gridSpan w:val="28"/>
          </w:tcPr>
          <w:p>
            <w:pPr>
              <w:spacing w:after="0" w:line="20" w:lineRule="exact"/>
              <w:rPr>
                <w:sz w:val="1"/>
                <w:szCs w:val="1"/>
                <w:color w:val="auto"/>
              </w:rPr>
            </w:pPr>
          </w:p>
        </w:tc>
      </w:tr>
      <w:tr>
        <w:trPr>
          <w:trHeight w:val="555"/>
        </w:trPr>
        <w:tc>
          <w:tcPr>
            <w:tcW w:w="80" w:type="dxa"/>
            <w:vAlign w:val="bottom"/>
          </w:tcPr>
          <w:p>
            <w:pPr>
              <w:spacing w:after="0"/>
              <w:rPr>
                <w:sz w:val="24"/>
                <w:szCs w:val="24"/>
                <w:color w:val="auto"/>
              </w:rPr>
            </w:pPr>
          </w:p>
        </w:tc>
        <w:tc>
          <w:tcPr>
            <w:tcW w:w="7560" w:type="dxa"/>
            <w:vAlign w:val="bottom"/>
            <w:gridSpan w:val="30"/>
          </w:tcPr>
          <w:p>
            <w:pPr>
              <w:ind w:left="360"/>
              <w:spacing w:after="0"/>
              <w:rPr>
                <w:sz w:val="20"/>
                <w:szCs w:val="20"/>
                <w:color w:val="auto"/>
              </w:rPr>
            </w:pPr>
            <w:r>
              <w:rPr>
                <w:rFonts w:ascii="Arial" w:cs="Arial" w:eastAsia="Arial" w:hAnsi="Arial"/>
                <w:sz w:val="14"/>
                <w:szCs w:val="14"/>
                <w:color w:val="auto"/>
                <w:w w:val="94"/>
              </w:rPr>
              <w:t>The amortized cost and fair value of available-for-sale securities at September 30, 2021, by contractual maturity, are shown</w:t>
            </w:r>
          </w:p>
        </w:tc>
      </w:tr>
      <w:tr>
        <w:trPr>
          <w:trHeight w:val="192"/>
        </w:trPr>
        <w:tc>
          <w:tcPr>
            <w:tcW w:w="2240" w:type="dxa"/>
            <w:vAlign w:val="bottom"/>
            <w:gridSpan w:val="4"/>
          </w:tcPr>
          <w:p>
            <w:pPr>
              <w:ind w:left="60"/>
              <w:spacing w:after="0"/>
              <w:rPr>
                <w:sz w:val="20"/>
                <w:szCs w:val="20"/>
                <w:color w:val="auto"/>
              </w:rPr>
            </w:pPr>
            <w:r>
              <w:rPr>
                <w:rFonts w:ascii="Arial" w:cs="Arial" w:eastAsia="Arial" w:hAnsi="Arial"/>
                <w:sz w:val="14"/>
                <w:szCs w:val="14"/>
                <w:color w:val="auto"/>
              </w:rPr>
              <w:t>below:</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0"/>
        </w:trPr>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0"/>
              </w:rPr>
              <w:t>September 30, 2021</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173"/>
        </w:trPr>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Within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After One to</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tcPr>
          <w:p>
            <w:pPr>
              <w:jc w:val="center"/>
              <w:ind w:right="69"/>
              <w:spacing w:after="0"/>
              <w:rPr>
                <w:sz w:val="20"/>
                <w:szCs w:val="20"/>
                <w:color w:val="auto"/>
              </w:rPr>
            </w:pPr>
            <w:r>
              <w:rPr>
                <w:rFonts w:ascii="Arial" w:cs="Arial" w:eastAsia="Arial" w:hAnsi="Arial"/>
                <w:sz w:val="14"/>
                <w:szCs w:val="14"/>
                <w:b w:val="1"/>
                <w:bCs w:val="1"/>
                <w:color w:val="auto"/>
                <w:w w:val="92"/>
              </w:rPr>
              <w:t>After Five to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69"/>
              <w:spacing w:after="0"/>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w w:val="91"/>
              </w:rPr>
              <w:t>One Year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9"/>
              </w:rPr>
              <w:t>Five Years</w:t>
            </w:r>
          </w:p>
        </w:tc>
        <w:tc>
          <w:tcPr>
            <w:tcW w:w="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29"/>
              <w:spacing w:after="0"/>
              <w:rPr>
                <w:sz w:val="20"/>
                <w:szCs w:val="20"/>
                <w:color w:val="auto"/>
              </w:rPr>
            </w:pPr>
            <w:r>
              <w:rPr>
                <w:rFonts w:ascii="Arial" w:cs="Arial" w:eastAsia="Arial" w:hAnsi="Arial"/>
                <w:sz w:val="14"/>
                <w:szCs w:val="14"/>
                <w:b w:val="1"/>
                <w:bCs w:val="1"/>
                <w:color w:val="auto"/>
                <w:w w:val="92"/>
              </w:rPr>
              <w:t>Ten Years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4"/>
                <w:szCs w:val="14"/>
                <w:b w:val="1"/>
                <w:bCs w:val="1"/>
                <w:color w:val="auto"/>
                <w:w w:val="86"/>
              </w:rPr>
              <w:t>Ten Years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Total</w:t>
            </w:r>
          </w:p>
        </w:tc>
      </w:tr>
      <w:tr>
        <w:trPr>
          <w:trHeight w:val="178"/>
        </w:trPr>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10"/>
          </w:tcPr>
          <w:p>
            <w:pPr>
              <w:jc w:val="center"/>
              <w:ind w:right="140"/>
              <w:spacing w:after="0"/>
              <w:rPr>
                <w:sz w:val="20"/>
                <w:szCs w:val="20"/>
                <w:color w:val="auto"/>
              </w:rPr>
            </w:pPr>
            <w:r>
              <w:rPr>
                <w:rFonts w:ascii="Arial" w:cs="Arial" w:eastAsia="Arial" w:hAnsi="Arial"/>
                <w:sz w:val="13"/>
                <w:szCs w:val="13"/>
                <w:i w:val="1"/>
                <w:iCs w:val="1"/>
                <w:color w:val="auto"/>
                <w:w w:val="91"/>
              </w:rPr>
              <w:t>(Dollars in thousands)</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6"/>
        </w:trPr>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81"/>
        </w:trPr>
        <w:tc>
          <w:tcPr>
            <w:tcW w:w="80" w:type="dxa"/>
            <w:vAlign w:val="bottom"/>
          </w:tcPr>
          <w:p>
            <w:pPr>
              <w:spacing w:after="0"/>
              <w:rPr>
                <w:sz w:val="15"/>
                <w:szCs w:val="15"/>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Available-for-sale securities</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700" w:type="dxa"/>
            <w:vAlign w:val="bottom"/>
            <w:gridSpan w:val="6"/>
          </w:tcPr>
          <w:p>
            <w:pPr>
              <w:ind w:left="160"/>
              <w:spacing w:after="0" w:line="182" w:lineRule="exact"/>
              <w:rPr>
                <w:sz w:val="20"/>
                <w:szCs w:val="20"/>
                <w:color w:val="auto"/>
              </w:rPr>
            </w:pPr>
            <w:r>
              <w:rPr>
                <w:rFonts w:ascii="Arial" w:cs="Arial" w:eastAsia="Arial" w:hAnsi="Arial"/>
                <w:sz w:val="14"/>
                <w:szCs w:val="14"/>
                <w:color w:val="auto"/>
              </w:rPr>
              <w:t>Mortgage-backed - GSE residential</w:t>
            </w:r>
            <w:r>
              <w:rPr>
                <w:rFonts w:ascii="Arial" w:cs="Arial" w:eastAsia="Arial" w:hAnsi="Arial"/>
                <w:sz w:val="18"/>
                <w:szCs w:val="18"/>
                <w:color w:val="auto"/>
                <w:vertAlign w:val="superscript"/>
              </w:rPr>
              <w:t>(1)</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5"/>
                <w:szCs w:val="15"/>
                <w:color w:val="auto"/>
              </w:rPr>
            </w:pP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131,871</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132,059</w:t>
            </w:r>
          </w:p>
        </w:tc>
        <w:tc>
          <w:tcPr>
            <w:tcW w:w="180" w:type="dxa"/>
            <w:vAlign w:val="bottom"/>
            <w:shd w:val="clear" w:color="auto" w:fill="CCEEFF"/>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160" w:type="dxa"/>
            <w:vAlign w:val="bottom"/>
            <w:gridSpan w:val="3"/>
          </w:tcPr>
          <w:p>
            <w:pPr>
              <w:ind w:left="340"/>
              <w:spacing w:after="0"/>
              <w:rPr>
                <w:sz w:val="20"/>
                <w:szCs w:val="20"/>
                <w:color w:val="auto"/>
              </w:rPr>
            </w:pPr>
            <w:r>
              <w:rPr>
                <w:rFonts w:ascii="Arial" w:cs="Arial" w:eastAsia="Arial" w:hAnsi="Arial"/>
                <w:sz w:val="14"/>
                <w:szCs w:val="14"/>
                <w:color w:val="auto"/>
              </w:rPr>
              <w:t>Estimated fair value</w:t>
            </w:r>
          </w:p>
        </w:tc>
        <w:tc>
          <w:tcPr>
            <w:tcW w:w="5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159</w:t>
            </w:r>
          </w:p>
        </w:tc>
        <w:tc>
          <w:tcPr>
            <w:tcW w:w="20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132,764</w:t>
            </w:r>
          </w:p>
        </w:tc>
        <w:tc>
          <w:tcPr>
            <w:tcW w:w="180" w:type="dxa"/>
            <w:vAlign w:val="bottom"/>
          </w:tcPr>
          <w:p>
            <w:pPr>
              <w:spacing w:after="0"/>
              <w:rPr>
                <w:sz w:val="15"/>
                <w:szCs w:val="15"/>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132,964</w:t>
            </w:r>
          </w:p>
        </w:tc>
        <w:tc>
          <w:tcPr>
            <w:tcW w:w="18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70"/>
        </w:trPr>
        <w:tc>
          <w:tcPr>
            <w:tcW w:w="80" w:type="dxa"/>
            <w:vAlign w:val="bottom"/>
          </w:tcPr>
          <w:p>
            <w:pPr>
              <w:spacing w:after="0"/>
              <w:rPr>
                <w:sz w:val="14"/>
                <w:szCs w:val="14"/>
                <w:color w:val="auto"/>
              </w:rPr>
            </w:pPr>
          </w:p>
        </w:tc>
        <w:tc>
          <w:tcPr>
            <w:tcW w:w="2700" w:type="dxa"/>
            <w:vAlign w:val="bottom"/>
            <w:gridSpan w:val="6"/>
          </w:tcPr>
          <w:p>
            <w:pPr>
              <w:ind w:left="160"/>
              <w:spacing w:after="0"/>
              <w:rPr>
                <w:sz w:val="20"/>
                <w:szCs w:val="20"/>
                <w:color w:val="auto"/>
              </w:rPr>
            </w:pPr>
            <w:r>
              <w:rPr>
                <w:rFonts w:ascii="Arial" w:cs="Arial" w:eastAsia="Arial" w:hAnsi="Arial"/>
                <w:sz w:val="14"/>
                <w:szCs w:val="14"/>
                <w:color w:val="auto"/>
              </w:rPr>
              <w:t>Collateralized mortgage obligations -</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2"/>
        </w:trPr>
        <w:tc>
          <w:tcPr>
            <w:tcW w:w="80" w:type="dxa"/>
            <w:vAlign w:val="bottom"/>
          </w:tcPr>
          <w:p>
            <w:pPr>
              <w:spacing w:after="0"/>
              <w:rPr>
                <w:sz w:val="16"/>
                <w:szCs w:val="16"/>
                <w:color w:val="auto"/>
              </w:rPr>
            </w:pPr>
          </w:p>
        </w:tc>
        <w:tc>
          <w:tcPr>
            <w:tcW w:w="2160" w:type="dxa"/>
            <w:vAlign w:val="bottom"/>
            <w:gridSpan w:val="3"/>
          </w:tcPr>
          <w:p>
            <w:pPr>
              <w:ind w:left="160"/>
              <w:spacing w:after="0" w:line="193" w:lineRule="exact"/>
              <w:rPr>
                <w:sz w:val="20"/>
                <w:szCs w:val="20"/>
                <w:color w:val="auto"/>
              </w:rPr>
            </w:pPr>
            <w:r>
              <w:rPr>
                <w:rFonts w:ascii="Arial" w:cs="Arial" w:eastAsia="Arial" w:hAnsi="Arial"/>
                <w:sz w:val="14"/>
                <w:szCs w:val="14"/>
                <w:color w:val="auto"/>
              </w:rPr>
              <w:t>GSE residential</w:t>
            </w:r>
            <w:r>
              <w:rPr>
                <w:rFonts w:ascii="Arial" w:cs="Arial" w:eastAsia="Arial" w:hAnsi="Arial"/>
                <w:sz w:val="18"/>
                <w:szCs w:val="18"/>
                <w:color w:val="auto"/>
                <w:vertAlign w:val="superscript"/>
              </w:rPr>
              <w:t>(1)</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1"/>
        </w:trPr>
        <w:tc>
          <w:tcPr>
            <w:tcW w:w="8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19,684</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22,122</w:t>
            </w:r>
          </w:p>
        </w:tc>
        <w:tc>
          <w:tcPr>
            <w:tcW w:w="180" w:type="dxa"/>
            <w:vAlign w:val="bottom"/>
            <w:shd w:val="clear" w:color="auto" w:fill="CCEEFF"/>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160" w:type="dxa"/>
            <w:vAlign w:val="bottom"/>
            <w:gridSpan w:val="3"/>
          </w:tcPr>
          <w:p>
            <w:pPr>
              <w:ind w:left="340"/>
              <w:spacing w:after="0"/>
              <w:rPr>
                <w:sz w:val="20"/>
                <w:szCs w:val="20"/>
                <w:color w:val="auto"/>
              </w:rPr>
            </w:pPr>
            <w:r>
              <w:rPr>
                <w:rFonts w:ascii="Arial" w:cs="Arial" w:eastAsia="Arial" w:hAnsi="Arial"/>
                <w:sz w:val="14"/>
                <w:szCs w:val="14"/>
                <w:color w:val="auto"/>
              </w:rPr>
              <w:t>Estimated fair value</w:t>
            </w:r>
          </w:p>
        </w:tc>
        <w:tc>
          <w:tcPr>
            <w:tcW w:w="5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2,608</w:t>
            </w:r>
          </w:p>
        </w:tc>
        <w:tc>
          <w:tcPr>
            <w:tcW w:w="20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19,996</w:t>
            </w:r>
          </w:p>
        </w:tc>
        <w:tc>
          <w:tcPr>
            <w:tcW w:w="180" w:type="dxa"/>
            <w:vAlign w:val="bottom"/>
          </w:tcPr>
          <w:p>
            <w:pPr>
              <w:spacing w:after="0"/>
              <w:rPr>
                <w:sz w:val="15"/>
                <w:szCs w:val="15"/>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22,604</w:t>
            </w:r>
          </w:p>
        </w:tc>
        <w:tc>
          <w:tcPr>
            <w:tcW w:w="18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81"/>
        </w:trPr>
        <w:tc>
          <w:tcPr>
            <w:tcW w:w="80" w:type="dxa"/>
            <w:vAlign w:val="bottom"/>
          </w:tcPr>
          <w:p>
            <w:pPr>
              <w:spacing w:after="0"/>
              <w:rPr>
                <w:sz w:val="15"/>
                <w:szCs w:val="15"/>
                <w:color w:val="auto"/>
              </w:rPr>
            </w:pPr>
          </w:p>
        </w:tc>
        <w:tc>
          <w:tcPr>
            <w:tcW w:w="2160" w:type="dxa"/>
            <w:vAlign w:val="bottom"/>
            <w:gridSpan w:val="3"/>
          </w:tcPr>
          <w:p>
            <w:pPr>
              <w:ind w:left="160"/>
              <w:spacing w:after="0"/>
              <w:rPr>
                <w:sz w:val="20"/>
                <w:szCs w:val="20"/>
                <w:color w:val="auto"/>
              </w:rPr>
            </w:pPr>
            <w:r>
              <w:rPr>
                <w:rFonts w:ascii="Arial" w:cs="Arial" w:eastAsia="Arial" w:hAnsi="Arial"/>
                <w:sz w:val="14"/>
                <w:szCs w:val="14"/>
                <w:color w:val="auto"/>
              </w:rPr>
              <w:t>State and political subdivisions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2"/>
        </w:trPr>
        <w:tc>
          <w:tcPr>
            <w:tcW w:w="8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6,115</w:t>
            </w:r>
          </w:p>
        </w:tc>
        <w:tc>
          <w:tcPr>
            <w:tcW w:w="120" w:type="dxa"/>
            <w:vAlign w:val="bottom"/>
            <w:shd w:val="clear" w:color="auto" w:fill="CCEEFF"/>
          </w:tcPr>
          <w:p>
            <w:pPr>
              <w:spacing w:after="0"/>
              <w:rPr>
                <w:sz w:val="15"/>
                <w:szCs w:val="15"/>
                <w:color w:val="auto"/>
              </w:rPr>
            </w:pP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78,231</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438,456</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523,324</w:t>
            </w:r>
          </w:p>
        </w:tc>
        <w:tc>
          <w:tcPr>
            <w:tcW w:w="180" w:type="dxa"/>
            <w:vAlign w:val="bottom"/>
            <w:shd w:val="clear" w:color="auto" w:fill="CCEEFF"/>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160" w:type="dxa"/>
            <w:vAlign w:val="bottom"/>
            <w:gridSpan w:val="3"/>
          </w:tcPr>
          <w:p>
            <w:pPr>
              <w:ind w:left="340"/>
              <w:spacing w:after="0"/>
              <w:rPr>
                <w:sz w:val="20"/>
                <w:szCs w:val="20"/>
                <w:color w:val="auto"/>
              </w:rPr>
            </w:pPr>
            <w:r>
              <w:rPr>
                <w:rFonts w:ascii="Arial" w:cs="Arial" w:eastAsia="Arial" w:hAnsi="Arial"/>
                <w:sz w:val="14"/>
                <w:szCs w:val="14"/>
                <w:color w:val="auto"/>
              </w:rPr>
              <w:t>Estimated fair value</w:t>
            </w:r>
          </w:p>
        </w:tc>
        <w:tc>
          <w:tcPr>
            <w:tcW w:w="5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524</w:t>
            </w:r>
          </w:p>
        </w:tc>
        <w:tc>
          <w:tcPr>
            <w:tcW w:w="180" w:type="dxa"/>
            <w:vAlign w:val="bottom"/>
          </w:tcPr>
          <w:p>
            <w:pPr>
              <w:spacing w:after="0"/>
              <w:rPr>
                <w:sz w:val="15"/>
                <w:szCs w:val="15"/>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6,319</w:t>
            </w:r>
          </w:p>
        </w:tc>
        <w:tc>
          <w:tcPr>
            <w:tcW w:w="120" w:type="dxa"/>
            <w:vAlign w:val="bottom"/>
          </w:tcPr>
          <w:p>
            <w:pPr>
              <w:spacing w:after="0"/>
              <w:rPr>
                <w:sz w:val="15"/>
                <w:szCs w:val="15"/>
                <w:color w:val="auto"/>
              </w:rPr>
            </w:pP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84,402</w:t>
            </w:r>
          </w:p>
        </w:tc>
        <w:tc>
          <w:tcPr>
            <w:tcW w:w="20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457,033</w:t>
            </w:r>
          </w:p>
        </w:tc>
        <w:tc>
          <w:tcPr>
            <w:tcW w:w="180" w:type="dxa"/>
            <w:vAlign w:val="bottom"/>
          </w:tcPr>
          <w:p>
            <w:pPr>
              <w:spacing w:after="0"/>
              <w:rPr>
                <w:sz w:val="15"/>
                <w:szCs w:val="15"/>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548,278</w:t>
            </w:r>
          </w:p>
        </w:tc>
        <w:tc>
          <w:tcPr>
            <w:tcW w:w="18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81"/>
        </w:trPr>
        <w:tc>
          <w:tcPr>
            <w:tcW w:w="80" w:type="dxa"/>
            <w:vAlign w:val="bottom"/>
          </w:tcPr>
          <w:p>
            <w:pPr>
              <w:spacing w:after="0"/>
              <w:rPr>
                <w:sz w:val="15"/>
                <w:szCs w:val="15"/>
                <w:color w:val="auto"/>
              </w:rPr>
            </w:pPr>
          </w:p>
        </w:tc>
        <w:tc>
          <w:tcPr>
            <w:tcW w:w="2160" w:type="dxa"/>
            <w:vAlign w:val="bottom"/>
            <w:gridSpan w:val="3"/>
          </w:tcPr>
          <w:p>
            <w:pPr>
              <w:ind w:left="160"/>
              <w:spacing w:after="0"/>
              <w:rPr>
                <w:sz w:val="20"/>
                <w:szCs w:val="20"/>
                <w:color w:val="auto"/>
              </w:rPr>
            </w:pPr>
            <w:r>
              <w:rPr>
                <w:rFonts w:ascii="Arial" w:cs="Arial" w:eastAsia="Arial" w:hAnsi="Arial"/>
                <w:sz w:val="14"/>
                <w:szCs w:val="14"/>
                <w:color w:val="auto"/>
              </w:rPr>
              <w:t>Corporate bonds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2"/>
        </w:trPr>
        <w:tc>
          <w:tcPr>
            <w:tcW w:w="8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20" w:type="dxa"/>
            <w:vAlign w:val="bottom"/>
            <w:shd w:val="clear" w:color="auto" w:fill="CCEEFF"/>
          </w:tcPr>
          <w:p>
            <w:pPr>
              <w:spacing w:after="0"/>
              <w:rPr>
                <w:sz w:val="15"/>
                <w:szCs w:val="15"/>
                <w:color w:val="auto"/>
              </w:rPr>
            </w:pP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3,887</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4,242</w:t>
            </w:r>
          </w:p>
        </w:tc>
        <w:tc>
          <w:tcPr>
            <w:tcW w:w="180" w:type="dxa"/>
            <w:vAlign w:val="bottom"/>
            <w:shd w:val="clear" w:color="auto" w:fill="CCEEFF"/>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160" w:type="dxa"/>
            <w:vAlign w:val="bottom"/>
            <w:gridSpan w:val="3"/>
          </w:tcPr>
          <w:p>
            <w:pPr>
              <w:ind w:left="340"/>
              <w:spacing w:after="0"/>
              <w:rPr>
                <w:sz w:val="20"/>
                <w:szCs w:val="20"/>
                <w:color w:val="auto"/>
              </w:rPr>
            </w:pPr>
            <w:r>
              <w:rPr>
                <w:rFonts w:ascii="Arial" w:cs="Arial" w:eastAsia="Arial" w:hAnsi="Arial"/>
                <w:sz w:val="14"/>
                <w:szCs w:val="14"/>
                <w:color w:val="auto"/>
              </w:rPr>
              <w:t>Estimated fair value</w:t>
            </w:r>
          </w:p>
        </w:tc>
        <w:tc>
          <w:tcPr>
            <w:tcW w:w="5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5"/>
                <w:szCs w:val="15"/>
                <w:color w:val="auto"/>
              </w:rPr>
            </w:pP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3,900</w:t>
            </w:r>
          </w:p>
        </w:tc>
        <w:tc>
          <w:tcPr>
            <w:tcW w:w="20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4,260</w:t>
            </w:r>
          </w:p>
        </w:tc>
        <w:tc>
          <w:tcPr>
            <w:tcW w:w="18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81"/>
        </w:trPr>
        <w:tc>
          <w:tcPr>
            <w:tcW w:w="80" w:type="dxa"/>
            <w:vAlign w:val="bottom"/>
          </w:tcPr>
          <w:p>
            <w:pPr>
              <w:spacing w:after="0"/>
              <w:rPr>
                <w:sz w:val="15"/>
                <w:szCs w:val="15"/>
                <w:color w:val="auto"/>
              </w:rPr>
            </w:pPr>
          </w:p>
        </w:tc>
        <w:tc>
          <w:tcPr>
            <w:tcW w:w="2160" w:type="dxa"/>
            <w:vAlign w:val="bottom"/>
            <w:gridSpan w:val="3"/>
          </w:tcPr>
          <w:p>
            <w:pPr>
              <w:ind w:left="160"/>
              <w:spacing w:after="0"/>
              <w:rPr>
                <w:sz w:val="20"/>
                <w:szCs w:val="20"/>
                <w:color w:val="auto"/>
              </w:rPr>
            </w:pPr>
            <w:r>
              <w:rPr>
                <w:rFonts w:ascii="Arial" w:cs="Arial" w:eastAsia="Arial" w:hAnsi="Arial"/>
                <w:sz w:val="14"/>
                <w:szCs w:val="14"/>
                <w:color w:val="auto"/>
                <w:w w:val="96"/>
              </w:rPr>
              <w:t>Total available-for-sale securities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83"/>
        </w:trPr>
        <w:tc>
          <w:tcPr>
            <w:tcW w:w="80" w:type="dxa"/>
            <w:vAlign w:val="bottom"/>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6,510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84,704</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590,011</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681,747</w:t>
            </w:r>
          </w:p>
        </w:tc>
        <w:tc>
          <w:tcPr>
            <w:tcW w:w="180" w:type="dxa"/>
            <w:vAlign w:val="bottom"/>
            <w:tcBorders>
              <w:bottom w:val="single" w:sz="8" w:color="CCEEFF"/>
            </w:tcBorders>
            <w:shd w:val="clear" w:color="auto" w:fill="CCEEFF"/>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80" w:type="dxa"/>
            <w:vAlign w:val="bottom"/>
          </w:tcPr>
          <w:p>
            <w:pPr>
              <w:spacing w:after="0"/>
              <w:rPr>
                <w:sz w:val="20"/>
                <w:szCs w:val="20"/>
                <w:color w:val="auto"/>
              </w:rPr>
            </w:pPr>
          </w:p>
        </w:tc>
        <w:tc>
          <w:tcPr>
            <w:tcW w:w="2160" w:type="dxa"/>
            <w:vAlign w:val="bottom"/>
            <w:gridSpan w:val="3"/>
          </w:tcPr>
          <w:p>
            <w:pPr>
              <w:ind w:left="340"/>
              <w:spacing w:after="0"/>
              <w:rPr>
                <w:sz w:val="20"/>
                <w:szCs w:val="20"/>
                <w:color w:val="auto"/>
              </w:rPr>
            </w:pPr>
            <w:r>
              <w:rPr>
                <w:rFonts w:ascii="Arial" w:cs="Arial" w:eastAsia="Arial" w:hAnsi="Arial"/>
                <w:sz w:val="14"/>
                <w:szCs w:val="14"/>
                <w:color w:val="auto"/>
              </w:rPr>
              <w:t>Estimated fair value</w:t>
            </w:r>
          </w:p>
        </w:tc>
        <w:tc>
          <w:tcPr>
            <w:tcW w:w="5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524</w:t>
            </w:r>
          </w:p>
        </w:tc>
        <w:tc>
          <w:tcPr>
            <w:tcW w:w="180" w:type="dxa"/>
            <w:vAlign w:val="bottom"/>
          </w:tcPr>
          <w:p>
            <w:pPr>
              <w:spacing w:after="0"/>
              <w:rPr>
                <w:sz w:val="20"/>
                <w:szCs w:val="20"/>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6,720</w:t>
            </w:r>
          </w:p>
        </w:tc>
        <w:tc>
          <w:tcPr>
            <w:tcW w:w="120" w:type="dxa"/>
            <w:vAlign w:val="bottom"/>
          </w:tcPr>
          <w:p>
            <w:pPr>
              <w:spacing w:after="0"/>
              <w:rPr>
                <w:sz w:val="20"/>
                <w:szCs w:val="20"/>
                <w:color w:val="auto"/>
              </w:rPr>
            </w:pP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91,069</w:t>
            </w:r>
          </w:p>
        </w:tc>
        <w:tc>
          <w:tcPr>
            <w:tcW w:w="200" w:type="dxa"/>
            <w:vAlign w:val="bottom"/>
          </w:tcPr>
          <w:p>
            <w:pPr>
              <w:spacing w:after="0"/>
              <w:rPr>
                <w:sz w:val="20"/>
                <w:szCs w:val="20"/>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609,793</w:t>
            </w:r>
          </w:p>
        </w:tc>
        <w:tc>
          <w:tcPr>
            <w:tcW w:w="180" w:type="dxa"/>
            <w:vAlign w:val="bottom"/>
          </w:tcPr>
          <w:p>
            <w:pPr>
              <w:spacing w:after="0"/>
              <w:rPr>
                <w:sz w:val="20"/>
                <w:szCs w:val="20"/>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708,106</w:t>
            </w:r>
          </w:p>
        </w:tc>
        <w:tc>
          <w:tcPr>
            <w:tcW w:w="180" w:type="dxa"/>
            <w:vAlign w:val="bottom"/>
          </w:tcPr>
          <w:p>
            <w:pPr>
              <w:spacing w:after="0"/>
              <w:rPr>
                <w:sz w:val="20"/>
                <w:szCs w:val="20"/>
                <w:color w:val="auto"/>
              </w:rPr>
            </w:pPr>
          </w:p>
        </w:tc>
      </w:tr>
      <w:tr>
        <w:trPr>
          <w:trHeight w:val="155"/>
        </w:trPr>
        <w:tc>
          <w:tcPr>
            <w:tcW w:w="80" w:type="dxa"/>
            <w:vAlign w:val="bottom"/>
          </w:tcPr>
          <w:p>
            <w:pPr>
              <w:spacing w:after="0"/>
              <w:rPr>
                <w:sz w:val="13"/>
                <w:szCs w:val="13"/>
                <w:color w:val="auto"/>
              </w:rPr>
            </w:pPr>
          </w:p>
        </w:tc>
        <w:tc>
          <w:tcPr>
            <w:tcW w:w="400" w:type="dxa"/>
            <w:vAlign w:val="bottom"/>
            <w:tcBorders>
              <w:top w:val="single" w:sz="8" w:color="CCEEFF"/>
              <w:bottom w:val="single" w:sz="8" w:color="CCEEFF"/>
            </w:tcBorders>
            <w:shd w:val="clear" w:color="auto" w:fill="CCEEFF"/>
          </w:tcPr>
          <w:p>
            <w:pPr>
              <w:spacing w:after="0"/>
              <w:rPr>
                <w:sz w:val="13"/>
                <w:szCs w:val="13"/>
                <w:color w:val="auto"/>
              </w:rPr>
            </w:pPr>
          </w:p>
        </w:tc>
        <w:tc>
          <w:tcPr>
            <w:tcW w:w="1760" w:type="dxa"/>
            <w:vAlign w:val="bottom"/>
            <w:tcBorders>
              <w:top w:val="single" w:sz="8" w:color="CCEEFF"/>
              <w:bottom w:val="single" w:sz="8" w:color="CCEEFF"/>
            </w:tcBorders>
            <w:gridSpan w:val="2"/>
            <w:shd w:val="clear" w:color="auto" w:fill="CCEEFF"/>
          </w:tcPr>
          <w:p>
            <w:pPr>
              <w:spacing w:after="0" w:line="134" w:lineRule="exact"/>
              <w:rPr>
                <w:sz w:val="20"/>
                <w:szCs w:val="20"/>
                <w:color w:val="auto"/>
              </w:rPr>
            </w:pPr>
            <w:r>
              <w:rPr>
                <w:rFonts w:ascii="Arial" w:cs="Arial" w:eastAsia="Arial" w:hAnsi="Arial"/>
                <w:sz w:val="12"/>
                <w:szCs w:val="12"/>
                <w:color w:val="auto"/>
              </w:rPr>
              <w:t>Weighted average yield</w:t>
            </w:r>
            <w:r>
              <w:rPr>
                <w:rFonts w:ascii="Arial" w:cs="Arial" w:eastAsia="Arial" w:hAnsi="Arial"/>
                <w:sz w:val="15"/>
                <w:szCs w:val="15"/>
                <w:color w:val="auto"/>
                <w:vertAlign w:val="superscript"/>
              </w:rPr>
              <w:t>(2)</w:t>
            </w:r>
          </w:p>
        </w:tc>
        <w:tc>
          <w:tcPr>
            <w:tcW w:w="4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CCEEFF"/>
            </w:tcBorders>
            <w:gridSpan w:val="2"/>
            <w:shd w:val="clear" w:color="auto" w:fill="CCEEFF"/>
          </w:tcPr>
          <w:p>
            <w:pPr>
              <w:jc w:val="right"/>
              <w:ind w:right="19"/>
              <w:spacing w:after="0" w:line="134" w:lineRule="exact"/>
              <w:rPr>
                <w:sz w:val="20"/>
                <w:szCs w:val="20"/>
                <w:color w:val="auto"/>
              </w:rPr>
            </w:pPr>
            <w:r>
              <w:rPr>
                <w:rFonts w:ascii="Arial" w:cs="Arial" w:eastAsia="Arial" w:hAnsi="Arial"/>
                <w:sz w:val="14"/>
                <w:szCs w:val="14"/>
                <w:color w:val="auto"/>
              </w:rPr>
              <w:t>3.25%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gridSpan w:val="2"/>
            <w:shd w:val="clear" w:color="auto" w:fill="CCEEFF"/>
          </w:tcPr>
          <w:p>
            <w:pPr>
              <w:jc w:val="right"/>
              <w:spacing w:after="0" w:line="134" w:lineRule="exact"/>
              <w:rPr>
                <w:sz w:val="20"/>
                <w:szCs w:val="20"/>
                <w:color w:val="auto"/>
              </w:rPr>
            </w:pPr>
            <w:r>
              <w:rPr>
                <w:rFonts w:ascii="Arial" w:cs="Arial" w:eastAsia="Arial" w:hAnsi="Arial"/>
                <w:sz w:val="14"/>
                <w:szCs w:val="14"/>
                <w:color w:val="auto"/>
              </w:rPr>
              <w:t>3.90%</w:t>
            </w: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gridSpan w:val="2"/>
            <w:shd w:val="clear" w:color="auto" w:fill="CCEEFF"/>
          </w:tcPr>
          <w:p>
            <w:pPr>
              <w:jc w:val="right"/>
              <w:ind w:right="9"/>
              <w:spacing w:after="0" w:line="134" w:lineRule="exact"/>
              <w:rPr>
                <w:sz w:val="20"/>
                <w:szCs w:val="20"/>
                <w:color w:val="auto"/>
              </w:rPr>
            </w:pPr>
            <w:r>
              <w:rPr>
                <w:rFonts w:ascii="Arial" w:cs="Arial" w:eastAsia="Arial" w:hAnsi="Arial"/>
                <w:sz w:val="14"/>
                <w:szCs w:val="14"/>
                <w:color w:val="auto"/>
              </w:rPr>
              <w:t>3.39%</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CCEEFF"/>
            </w:tcBorders>
            <w:gridSpan w:val="2"/>
            <w:shd w:val="clear" w:color="auto" w:fill="CCEEFF"/>
          </w:tcPr>
          <w:p>
            <w:pPr>
              <w:jc w:val="right"/>
              <w:spacing w:after="0" w:line="134" w:lineRule="exact"/>
              <w:rPr>
                <w:sz w:val="20"/>
                <w:szCs w:val="20"/>
                <w:color w:val="auto"/>
              </w:rPr>
            </w:pPr>
            <w:r>
              <w:rPr>
                <w:rFonts w:ascii="Arial" w:cs="Arial" w:eastAsia="Arial" w:hAnsi="Arial"/>
                <w:sz w:val="14"/>
                <w:szCs w:val="14"/>
                <w:color w:val="auto"/>
              </w:rPr>
              <w:t>2.44%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CCEEFF"/>
            </w:tcBorders>
            <w:gridSpan w:val="2"/>
            <w:shd w:val="clear" w:color="auto" w:fill="CCEEFF"/>
          </w:tcPr>
          <w:p>
            <w:pPr>
              <w:jc w:val="right"/>
              <w:spacing w:after="0" w:line="134" w:lineRule="exact"/>
              <w:rPr>
                <w:sz w:val="20"/>
                <w:szCs w:val="20"/>
                <w:color w:val="auto"/>
              </w:rPr>
            </w:pPr>
            <w:r>
              <w:rPr>
                <w:rFonts w:ascii="Arial" w:cs="Arial" w:eastAsia="Arial" w:hAnsi="Arial"/>
                <w:sz w:val="14"/>
                <w:szCs w:val="14"/>
                <w:color w:val="auto"/>
              </w:rPr>
              <w:t>2.58%</w:t>
            </w:r>
          </w:p>
        </w:tc>
      </w:tr>
      <w:tr>
        <w:trPr>
          <w:trHeight w:val="20"/>
        </w:trPr>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800" w:right="879" w:hanging="137"/>
        <w:spacing w:after="0" w:line="229" w:lineRule="auto"/>
        <w:tabs>
          <w:tab w:leader="none" w:pos="811"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Actual maturities may differ from contractual maturities because issuers may have the rights to call or prepay obligations with or without prepayment penalties.</w:t>
      </w:r>
    </w:p>
    <w:p>
      <w:pPr>
        <w:spacing w:after="0" w:line="40" w:lineRule="exact"/>
        <w:rPr>
          <w:rFonts w:ascii="Arial" w:cs="Arial" w:eastAsia="Arial" w:hAnsi="Arial"/>
          <w:sz w:val="18"/>
          <w:szCs w:val="18"/>
          <w:color w:val="auto"/>
          <w:vertAlign w:val="superscript"/>
        </w:rPr>
      </w:pPr>
    </w:p>
    <w:p>
      <w:pPr>
        <w:ind w:left="800" w:hanging="137"/>
        <w:spacing w:after="0"/>
        <w:tabs>
          <w:tab w:leader="none" w:pos="80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Yields are calculated based on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9019"/>
          </w:cols>
          <w:pgMar w:left="1440" w:top="448" w:right="1440" w:bottom="1440" w:gutter="0" w:footer="0" w:header="0"/>
        </w:sectPr>
      </w:pPr>
    </w:p>
    <w:bookmarkStart w:id="15" w:name="page16"/>
    <w:bookmarkEnd w:id="15"/>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ind w:left="640" w:right="599" w:firstLine="395"/>
        <w:spacing w:after="0" w:line="290" w:lineRule="auto"/>
        <w:rPr>
          <w:sz w:val="20"/>
          <w:szCs w:val="20"/>
          <w:color w:val="auto"/>
        </w:rPr>
      </w:pPr>
      <w:r>
        <w:rPr>
          <w:rFonts w:ascii="Arial" w:cs="Arial" w:eastAsia="Arial" w:hAnsi="Arial"/>
          <w:sz w:val="13"/>
          <w:szCs w:val="13"/>
          <w:color w:val="auto"/>
        </w:rPr>
        <w:t>The following tables show the number of securities, unrealized loss, and fair value of the Company’s investments with unrealized losses that are not deemed to be other-than-temporarily impaired (“OTTI”), aggregated by investment class and length of time that individual securities have been in a continuous unrealized loss position at September 30, 2021 and December 31, 2020:</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1"/>
              </w:rPr>
              <w:t>September 30, 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0"/>
              </w:rPr>
              <w:t>Less than 12 Months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6"/>
              </w:rPr>
              <w:t>12 Months or More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5"/>
              </w:rPr>
              <w:t>Unrealized Number of</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40" w:type="dxa"/>
            <w:vAlign w:val="bottom"/>
            <w:gridSpan w:val="7"/>
          </w:tcPr>
          <w:p>
            <w:pPr>
              <w:spacing w:after="0"/>
              <w:rPr>
                <w:sz w:val="20"/>
                <w:szCs w:val="20"/>
                <w:color w:val="auto"/>
              </w:rPr>
            </w:pPr>
            <w:r>
              <w:rPr>
                <w:rFonts w:ascii="Arial" w:cs="Arial" w:eastAsia="Arial" w:hAnsi="Arial"/>
                <w:sz w:val="14"/>
                <w:szCs w:val="14"/>
                <w:b w:val="1"/>
                <w:bCs w:val="1"/>
                <w:color w:val="auto"/>
                <w:w w:val="96"/>
              </w:rPr>
              <w:t>Unrealized Number of</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Unrealized Number of</w:t>
            </w:r>
          </w:p>
        </w:tc>
      </w:tr>
      <w:tr>
        <w:trPr>
          <w:trHeight w:val="175"/>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89"/>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4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b w:val="1"/>
                <w:bCs w:val="1"/>
                <w:color w:val="auto"/>
                <w:w w:val="86"/>
              </w:rPr>
              <w:t>Losses</w:t>
            </w:r>
          </w:p>
        </w:tc>
        <w:tc>
          <w:tcPr>
            <w:tcW w:w="4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b w:val="1"/>
                <w:bCs w:val="1"/>
                <w:color w:val="auto"/>
                <w:w w:val="86"/>
              </w:rPr>
              <w:t>Losses</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Securities</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8"/>
          </w:tcPr>
          <w:p>
            <w:pPr>
              <w:jc w:val="center"/>
              <w:ind w:right="260"/>
              <w:spacing w:after="0"/>
              <w:rPr>
                <w:sz w:val="20"/>
                <w:szCs w:val="20"/>
                <w:color w:val="auto"/>
              </w:rPr>
            </w:pPr>
            <w:r>
              <w:rPr>
                <w:rFonts w:ascii="Arial" w:cs="Arial" w:eastAsia="Arial" w:hAnsi="Arial"/>
                <w:sz w:val="14"/>
                <w:szCs w:val="14"/>
                <w:i w:val="1"/>
                <w:iCs w:val="1"/>
                <w:color w:val="auto"/>
                <w:w w:val="93"/>
              </w:rPr>
              <w:t>(Dollars in thousands)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126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Available-for-sale</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75"/>
        </w:trPr>
        <w:tc>
          <w:tcPr>
            <w:tcW w:w="40" w:type="dxa"/>
            <w:vAlign w:val="bottom"/>
          </w:tcPr>
          <w:p>
            <w:pPr>
              <w:spacing w:after="0"/>
              <w:rPr>
                <w:sz w:val="15"/>
                <w:szCs w:val="15"/>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92"/>
        </w:trPr>
        <w:tc>
          <w:tcPr>
            <w:tcW w:w="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Mortgage-backed -</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1"/>
        </w:trPr>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GSE residential</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70,590</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1,421</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15</w:t>
            </w:r>
          </w:p>
        </w:tc>
        <w:tc>
          <w:tcPr>
            <w:tcW w:w="200" w:type="dxa"/>
            <w:vAlign w:val="bottom"/>
            <w:gridSpan w:val="3"/>
          </w:tcPr>
          <w:p>
            <w:pPr>
              <w:jc w:val="right"/>
              <w:ind w:right="14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gridSpan w:val="3"/>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70,590</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1,421</w:t>
            </w:r>
          </w:p>
        </w:tc>
        <w:tc>
          <w:tcPr>
            <w:tcW w:w="700" w:type="dxa"/>
            <w:vAlign w:val="bottom"/>
            <w:gridSpan w:val="2"/>
          </w:tcPr>
          <w:p>
            <w:pPr>
              <w:jc w:val="right"/>
              <w:ind w:right="9"/>
              <w:spacing w:after="0"/>
              <w:rPr>
                <w:sz w:val="20"/>
                <w:szCs w:val="20"/>
                <w:color w:val="auto"/>
              </w:rPr>
            </w:pPr>
            <w:r>
              <w:rPr>
                <w:rFonts w:ascii="Arial" w:cs="Arial" w:eastAsia="Arial" w:hAnsi="Arial"/>
                <w:sz w:val="14"/>
                <w:szCs w:val="14"/>
                <w:color w:val="auto"/>
              </w:rPr>
              <w:t>15</w:t>
            </w:r>
          </w:p>
        </w:tc>
      </w:tr>
      <w:tr>
        <w:trPr>
          <w:trHeight w:val="192"/>
        </w:trPr>
        <w:tc>
          <w:tcPr>
            <w:tcW w:w="4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Collateralized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w w:val="87"/>
              </w:rPr>
              <w:t>mortgage obligations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61"/>
        </w:trPr>
        <w:tc>
          <w:tcPr>
            <w:tcW w:w="40" w:type="dxa"/>
            <w:vAlign w:val="bottom"/>
          </w:tcPr>
          <w:p>
            <w:pPr>
              <w:spacing w:after="0"/>
              <w:rPr>
                <w:sz w:val="13"/>
                <w:szCs w:val="13"/>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GSE residential</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w:t>
            </w: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w:t>
            </w:r>
          </w:p>
        </w:tc>
        <w:tc>
          <w:tcPr>
            <w:tcW w:w="7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1,722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2"/>
        </w:trPr>
        <w:tc>
          <w:tcPr>
            <w:tcW w:w="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State and political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1"/>
        </w:trPr>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subdivisions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99,890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2,964</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1,101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w w:val="98"/>
              </w:rPr>
              <w:t>100,991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2,968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65</w:t>
            </w:r>
          </w:p>
        </w:tc>
      </w:tr>
      <w:tr>
        <w:trPr>
          <w:trHeight w:val="171"/>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w:t>
            </w:r>
          </w:p>
        </w:tc>
        <w:tc>
          <w:tcPr>
            <w:tcW w:w="7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3,433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3"/>
        </w:trPr>
        <w:tc>
          <w:tcPr>
            <w:tcW w:w="40" w:type="dxa"/>
            <w:vAlign w:val="bottom"/>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ind w:left="60"/>
              <w:spacing w:after="0"/>
              <w:rPr>
                <w:sz w:val="20"/>
                <w:szCs w:val="20"/>
                <w:color w:val="auto"/>
              </w:rPr>
            </w:pPr>
            <w:r>
              <w:rPr>
                <w:rFonts w:ascii="Arial" w:cs="Arial" w:eastAsia="Arial" w:hAnsi="Arial"/>
                <w:sz w:val="14"/>
                <w:szCs w:val="14"/>
                <w:color w:val="auto"/>
              </w:rPr>
              <w:t>Total temporarily</w:t>
            </w: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r>
      <w:tr>
        <w:trPr>
          <w:trHeight w:val="181"/>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w w:val="95"/>
              </w:rPr>
              <w:t>impaired securities $</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175,474</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4,467</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81</w:t>
            </w:r>
          </w:p>
        </w:tc>
        <w:tc>
          <w:tcPr>
            <w:tcW w:w="200" w:type="dxa"/>
            <w:vAlign w:val="bottom"/>
            <w:gridSpan w:val="3"/>
          </w:tcPr>
          <w:p>
            <w:pPr>
              <w:jc w:val="right"/>
              <w:ind w:right="14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1,262</w:t>
            </w:r>
          </w:p>
        </w:tc>
        <w:tc>
          <w:tcPr>
            <w:tcW w:w="100" w:type="dxa"/>
            <w:vAlign w:val="bottom"/>
            <w:gridSpan w:val="3"/>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4</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w w:val="98"/>
              </w:rPr>
              <w:t>176,736</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4,472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85</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03"/>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0"/>
              </w:rPr>
              <w:t>December 31, 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7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0"/>
              </w:rPr>
              <w:t>Less than 12 Months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6"/>
              </w:rPr>
              <w:t>12 Months or More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232"/>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5"/>
              </w:rPr>
              <w:t>Unrealized Number of</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40" w:type="dxa"/>
            <w:vAlign w:val="bottom"/>
            <w:gridSpan w:val="7"/>
          </w:tcPr>
          <w:p>
            <w:pPr>
              <w:spacing w:after="0"/>
              <w:rPr>
                <w:sz w:val="20"/>
                <w:szCs w:val="20"/>
                <w:color w:val="auto"/>
              </w:rPr>
            </w:pPr>
            <w:r>
              <w:rPr>
                <w:rFonts w:ascii="Arial" w:cs="Arial" w:eastAsia="Arial" w:hAnsi="Arial"/>
                <w:sz w:val="14"/>
                <w:szCs w:val="14"/>
                <w:b w:val="1"/>
                <w:bCs w:val="1"/>
                <w:color w:val="auto"/>
                <w:w w:val="96"/>
              </w:rPr>
              <w:t>Unrealized Number of</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Unrealized Number of</w:t>
            </w:r>
          </w:p>
        </w:tc>
      </w:tr>
      <w:tr>
        <w:trPr>
          <w:trHeight w:val="175"/>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89"/>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4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b w:val="1"/>
                <w:bCs w:val="1"/>
                <w:color w:val="auto"/>
                <w:w w:val="86"/>
              </w:rPr>
              <w:t>Losses</w:t>
            </w:r>
          </w:p>
        </w:tc>
        <w:tc>
          <w:tcPr>
            <w:tcW w:w="4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b w:val="1"/>
                <w:bCs w:val="1"/>
                <w:color w:val="auto"/>
                <w:w w:val="86"/>
              </w:rPr>
              <w:t>Losses</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Securities</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8"/>
          </w:tcPr>
          <w:p>
            <w:pPr>
              <w:jc w:val="center"/>
              <w:ind w:right="260"/>
              <w:spacing w:after="0"/>
              <w:rPr>
                <w:sz w:val="20"/>
                <w:szCs w:val="20"/>
                <w:color w:val="auto"/>
              </w:rPr>
            </w:pPr>
            <w:r>
              <w:rPr>
                <w:rFonts w:ascii="Arial" w:cs="Arial" w:eastAsia="Arial" w:hAnsi="Arial"/>
                <w:sz w:val="14"/>
                <w:szCs w:val="14"/>
                <w:i w:val="1"/>
                <w:iCs w:val="1"/>
                <w:color w:val="auto"/>
                <w:w w:val="93"/>
              </w:rPr>
              <w:t>(Dollars in thousands)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5"/>
        </w:trPr>
        <w:tc>
          <w:tcPr>
            <w:tcW w:w="40" w:type="dxa"/>
            <w:vAlign w:val="bottom"/>
          </w:tcPr>
          <w:p>
            <w:pPr>
              <w:spacing w:after="0"/>
              <w:rPr>
                <w:sz w:val="12"/>
                <w:szCs w:val="12"/>
                <w:color w:val="auto"/>
              </w:rPr>
            </w:pPr>
          </w:p>
        </w:tc>
        <w:tc>
          <w:tcPr>
            <w:tcW w:w="126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Available-for-sale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86"/>
        </w:trPr>
        <w:tc>
          <w:tcPr>
            <w:tcW w:w="40" w:type="dxa"/>
            <w:vAlign w:val="bottom"/>
          </w:tcPr>
          <w:p>
            <w:pPr>
              <w:spacing w:after="0"/>
              <w:rPr>
                <w:sz w:val="16"/>
                <w:szCs w:val="16"/>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1"/>
        </w:trPr>
        <w:tc>
          <w:tcPr>
            <w:tcW w:w="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Mortgage-backed -</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GSE residential</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ind w:right="14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gridSpan w:val="3"/>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r>
      <w:tr>
        <w:trPr>
          <w:trHeight w:val="192"/>
        </w:trPr>
        <w:tc>
          <w:tcPr>
            <w:tcW w:w="4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Collateralized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60"/>
        </w:trPr>
        <w:tc>
          <w:tcPr>
            <w:tcW w:w="4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w w:val="87"/>
              </w:rPr>
              <w:t>mortgage obligations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82"/>
        </w:trPr>
        <w:tc>
          <w:tcPr>
            <w:tcW w:w="40" w:type="dxa"/>
            <w:vAlign w:val="bottom"/>
          </w:tcPr>
          <w:p>
            <w:pPr>
              <w:spacing w:after="0"/>
              <w:rPr>
                <w:sz w:val="15"/>
                <w:szCs w:val="15"/>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GSE residential</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9,933</w:t>
            </w: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w:t>
            </w:r>
          </w:p>
        </w:tc>
        <w:tc>
          <w:tcPr>
            <w:tcW w:w="7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9,933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1"/>
        </w:trPr>
        <w:tc>
          <w:tcPr>
            <w:tcW w:w="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State and political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subdivisions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8,525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31</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8,550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31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w:t>
            </w:r>
          </w:p>
        </w:tc>
      </w:tr>
      <w:tr>
        <w:trPr>
          <w:trHeight w:val="182"/>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82"/>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4"/>
                <w:szCs w:val="14"/>
                <w:color w:val="auto"/>
              </w:rPr>
              <w:t>Total temporarily</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w w:val="95"/>
              </w:rPr>
              <w:t>impaired securities $</w:t>
            </w:r>
          </w:p>
        </w:tc>
        <w:tc>
          <w:tcPr>
            <w:tcW w:w="580" w:type="dxa"/>
            <w:vAlign w:val="bottom"/>
          </w:tcPr>
          <w:p>
            <w:pPr>
              <w:jc w:val="right"/>
              <w:spacing w:after="0"/>
              <w:rPr>
                <w:sz w:val="20"/>
                <w:szCs w:val="20"/>
                <w:color w:val="auto"/>
              </w:rPr>
            </w:pPr>
            <w:r>
              <w:rPr>
                <w:rFonts w:ascii="Arial" w:cs="Arial" w:eastAsia="Arial" w:hAnsi="Arial"/>
                <w:sz w:val="14"/>
                <w:szCs w:val="14"/>
                <w:color w:val="auto"/>
              </w:rPr>
              <w:t>18,458</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73</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13</w:t>
            </w:r>
          </w:p>
        </w:tc>
        <w:tc>
          <w:tcPr>
            <w:tcW w:w="200" w:type="dxa"/>
            <w:vAlign w:val="bottom"/>
            <w:gridSpan w:val="3"/>
          </w:tcPr>
          <w:p>
            <w:pPr>
              <w:jc w:val="right"/>
              <w:ind w:right="14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100" w:type="dxa"/>
            <w:vAlign w:val="bottom"/>
            <w:gridSpan w:val="3"/>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18,483</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73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660" w:right="579" w:firstLine="395"/>
        <w:spacing w:after="0" w:line="380" w:lineRule="auto"/>
        <w:rPr>
          <w:sz w:val="20"/>
          <w:szCs w:val="20"/>
          <w:color w:val="auto"/>
        </w:rPr>
      </w:pPr>
      <w:r>
        <w:rPr>
          <w:rFonts w:ascii="Arial" w:cs="Arial" w:eastAsia="Arial" w:hAnsi="Arial"/>
          <w:sz w:val="12"/>
          <w:szCs w:val="12"/>
          <w:color w:val="auto"/>
        </w:rPr>
        <w:t>The Company expects to recover the amortized cost basis over the term of the securities. The Company does not intend to sell the investments and it is not more likely than not the Company will be required to sell the investments before recovery of their amortized cost basis, which may be maturity. The following tables show the gross gains and losses on securities that matured or were sold:</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gridSpan w:val="8"/>
          </w:tcPr>
          <w:p>
            <w:pPr>
              <w:jc w:val="center"/>
              <w:ind w:right="70"/>
              <w:spacing w:after="0"/>
              <w:rPr>
                <w:sz w:val="20"/>
                <w:szCs w:val="20"/>
                <w:color w:val="auto"/>
              </w:rPr>
            </w:pPr>
            <w:r>
              <w:rPr>
                <w:rFonts w:ascii="Arial" w:cs="Arial" w:eastAsia="Arial" w:hAnsi="Arial"/>
                <w:sz w:val="14"/>
                <w:szCs w:val="14"/>
                <w:b w:val="1"/>
                <w:bCs w:val="1"/>
                <w:color w:val="auto"/>
                <w:w w:val="93"/>
              </w:rPr>
              <w:t>For the Three Months Ended</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gridSpan w:val="7"/>
          </w:tcPr>
          <w:p>
            <w:pPr>
              <w:ind w:left="220"/>
              <w:spacing w:after="0"/>
              <w:rPr>
                <w:sz w:val="20"/>
                <w:szCs w:val="20"/>
                <w:color w:val="auto"/>
              </w:rPr>
            </w:pPr>
            <w:r>
              <w:rPr>
                <w:rFonts w:ascii="Arial" w:cs="Arial" w:eastAsia="Arial" w:hAnsi="Arial"/>
                <w:sz w:val="14"/>
                <w:szCs w:val="14"/>
                <w:b w:val="1"/>
                <w:bCs w:val="1"/>
                <w:color w:val="auto"/>
              </w:rPr>
              <w:t>For the Nine Months Ended</w:t>
            </w:r>
          </w:p>
        </w:tc>
      </w:tr>
      <w:tr>
        <w:trPr>
          <w:trHeight w:val="219"/>
        </w:trPr>
        <w:tc>
          <w:tcPr>
            <w:tcW w:w="3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8"/>
          </w:tcPr>
          <w:p>
            <w:pPr>
              <w:jc w:val="center"/>
              <w:ind w:right="50"/>
              <w:spacing w:after="0"/>
              <w:rPr>
                <w:sz w:val="20"/>
                <w:szCs w:val="20"/>
                <w:color w:val="auto"/>
              </w:rPr>
            </w:pPr>
            <w:r>
              <w:rPr>
                <w:rFonts w:ascii="Arial" w:cs="Arial" w:eastAsia="Arial" w:hAnsi="Arial"/>
                <w:sz w:val="14"/>
                <w:szCs w:val="14"/>
                <w:b w:val="1"/>
                <w:bCs w:val="1"/>
                <w:color w:val="auto"/>
                <w:w w:val="91"/>
              </w:rPr>
              <w:t>September 30, 2021</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September 30, 2021</w:t>
            </w:r>
          </w:p>
        </w:tc>
      </w:tr>
      <w:tr>
        <w:trPr>
          <w:trHeight w:val="227"/>
        </w:trPr>
        <w:tc>
          <w:tcPr>
            <w:tcW w:w="3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center"/>
              <w:ind w:right="4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center"/>
              <w:ind w:right="70"/>
              <w:spacing w:after="0"/>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center"/>
              <w:ind w:right="4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center"/>
              <w:ind w:right="89"/>
              <w:spacing w:after="0"/>
              <w:rPr>
                <w:sz w:val="20"/>
                <w:szCs w:val="20"/>
                <w:color w:val="auto"/>
              </w:rPr>
            </w:pPr>
            <w:r>
              <w:rPr>
                <w:rFonts w:ascii="Arial" w:cs="Arial" w:eastAsia="Arial" w:hAnsi="Arial"/>
                <w:sz w:val="14"/>
                <w:szCs w:val="14"/>
                <w:b w:val="1"/>
                <w:bCs w:val="1"/>
                <w:color w:val="auto"/>
                <w:w w:val="97"/>
              </w:rPr>
              <w:t>Net</w:t>
            </w:r>
          </w:p>
        </w:tc>
      </w:tr>
      <w:tr>
        <w:trPr>
          <w:trHeight w:val="160"/>
        </w:trPr>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70"/>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Realized</w:t>
            </w:r>
          </w:p>
        </w:tc>
      </w:tr>
      <w:tr>
        <w:trPr>
          <w:trHeight w:val="175"/>
        </w:trPr>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rPr>
              <w:t>Gain</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Gain</w:t>
            </w:r>
          </w:p>
        </w:tc>
      </w:tr>
      <w:tr>
        <w:trPr>
          <w:trHeight w:val="178"/>
        </w:trPr>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4"/>
          </w:tcPr>
          <w:p>
            <w:pPr>
              <w:ind w:left="100"/>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6"/>
        </w:trPr>
        <w:tc>
          <w:tcPr>
            <w:tcW w:w="31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r>
      <w:tr>
        <w:trPr>
          <w:trHeight w:val="193"/>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Available-for-sale securities</w:t>
            </w: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1,046</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1,151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108</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1,043</w:t>
            </w:r>
          </w:p>
        </w:tc>
      </w:tr>
      <w:tr>
        <w:trPr>
          <w:trHeight w:val="725"/>
        </w:trPr>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16</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9019"/>
          </w:cols>
          <w:pgMar w:left="1440" w:top="459" w:right="1440"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61"/>
        </w:trPr>
        <w:tc>
          <w:tcPr>
            <w:tcW w:w="204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3500" w:type="dxa"/>
            <w:vAlign w:val="bottom"/>
            <w:gridSpan w:val="11"/>
          </w:tcPr>
          <w:p>
            <w:pPr>
              <w:ind w:left="300"/>
              <w:spacing w:after="0"/>
              <w:rPr>
                <w:sz w:val="20"/>
                <w:szCs w:val="20"/>
                <w:color w:val="auto"/>
              </w:rPr>
            </w:pPr>
            <w:r>
              <w:rPr>
                <w:rFonts w:ascii="Arial" w:cs="Arial" w:eastAsia="Arial" w:hAnsi="Arial"/>
                <w:sz w:val="14"/>
                <w:szCs w:val="14"/>
                <w:color w:val="auto"/>
                <w:w w:val="91"/>
              </w:rPr>
              <w:t>Notes to Consolidated Financial Statements (unaudited)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77"/>
        </w:trPr>
        <w:tc>
          <w:tcPr>
            <w:tcW w:w="8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For the Three Months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7"/>
          </w:tcPr>
          <w:p>
            <w:pPr>
              <w:ind w:left="120"/>
              <w:spacing w:after="0"/>
              <w:rPr>
                <w:sz w:val="20"/>
                <w:szCs w:val="20"/>
                <w:color w:val="auto"/>
              </w:rPr>
            </w:pPr>
            <w:r>
              <w:rPr>
                <w:rFonts w:ascii="Arial" w:cs="Arial" w:eastAsia="Arial" w:hAnsi="Arial"/>
                <w:sz w:val="14"/>
                <w:szCs w:val="14"/>
                <w:b w:val="1"/>
                <w:bCs w:val="1"/>
                <w:color w:val="auto"/>
              </w:rPr>
              <w:t>For the Nine Months Ended</w:t>
            </w:r>
          </w:p>
        </w:tc>
      </w:tr>
      <w:tr>
        <w:trPr>
          <w:trHeight w:val="219"/>
        </w:trPr>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7"/>
          </w:tcPr>
          <w:p>
            <w:pPr>
              <w:jc w:val="center"/>
              <w:ind w:right="150"/>
              <w:spacing w:after="0"/>
              <w:rPr>
                <w:sz w:val="20"/>
                <w:szCs w:val="20"/>
                <w:color w:val="auto"/>
              </w:rPr>
            </w:pPr>
            <w:r>
              <w:rPr>
                <w:rFonts w:ascii="Arial" w:cs="Arial" w:eastAsia="Arial" w:hAnsi="Arial"/>
                <w:sz w:val="14"/>
                <w:szCs w:val="14"/>
                <w:b w:val="1"/>
                <w:bCs w:val="1"/>
                <w:color w:val="auto"/>
                <w:w w:val="91"/>
              </w:rPr>
              <w:t>September 30, 2020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September 30, 2020</w:t>
            </w:r>
          </w:p>
        </w:tc>
      </w:tr>
      <w:tr>
        <w:trPr>
          <w:trHeight w:val="195"/>
        </w:trPr>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center"/>
              <w:ind w:right="6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center"/>
              <w:ind w:right="4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center"/>
              <w:ind w:right="4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center"/>
              <w:ind w:right="89"/>
              <w:spacing w:after="0"/>
              <w:rPr>
                <w:sz w:val="20"/>
                <w:szCs w:val="20"/>
                <w:color w:val="auto"/>
              </w:rPr>
            </w:pPr>
            <w:r>
              <w:rPr>
                <w:rFonts w:ascii="Arial" w:cs="Arial" w:eastAsia="Arial" w:hAnsi="Arial"/>
                <w:sz w:val="14"/>
                <w:szCs w:val="14"/>
                <w:b w:val="1"/>
                <w:bCs w:val="1"/>
                <w:color w:val="auto"/>
                <w:w w:val="97"/>
              </w:rPr>
              <w:t>Net</w:t>
            </w:r>
          </w:p>
        </w:tc>
      </w:tr>
      <w:tr>
        <w:trPr>
          <w:trHeight w:val="168"/>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6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center"/>
              <w:ind w:right="4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Realized</w:t>
            </w:r>
          </w:p>
        </w:tc>
      </w:tr>
      <w:tr>
        <w:trPr>
          <w:trHeight w:val="220"/>
        </w:trPr>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center"/>
              <w:ind w:right="6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rPr>
              <w:t>Gain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center"/>
              <w:ind w:right="69"/>
              <w:spacing w:after="0"/>
              <w:rPr>
                <w:sz w:val="20"/>
                <w:szCs w:val="20"/>
                <w:color w:val="auto"/>
              </w:rPr>
            </w:pPr>
            <w:r>
              <w:rPr>
                <w:rFonts w:ascii="Arial" w:cs="Arial" w:eastAsia="Arial" w:hAnsi="Arial"/>
                <w:sz w:val="14"/>
                <w:szCs w:val="14"/>
                <w:b w:val="1"/>
                <w:bCs w:val="1"/>
                <w:color w:val="auto"/>
                <w:w w:val="85"/>
              </w:rPr>
              <w:t>Gains</w:t>
            </w:r>
            <w:r>
              <w:rPr>
                <w:rFonts w:ascii="Arial" w:cs="Arial" w:eastAsia="Arial" w:hAnsi="Arial"/>
                <w:sz w:val="18"/>
                <w:szCs w:val="18"/>
                <w:b w:val="1"/>
                <w:bCs w:val="1"/>
                <w:color w:val="auto"/>
                <w:w w:val="85"/>
                <w:vertAlign w:val="superscript"/>
              </w:rPr>
              <w:t>(1)</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Gain</w:t>
            </w:r>
          </w:p>
        </w:tc>
      </w:tr>
      <w:tr>
        <w:trPr>
          <w:trHeight w:val="178"/>
        </w:trPr>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6"/>
          </w:tcPr>
          <w:p>
            <w:pPr>
              <w:ind w:left="100"/>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6"/>
        </w:trPr>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r>
      <w:tr>
        <w:trPr>
          <w:trHeight w:val="192"/>
        </w:trPr>
        <w:tc>
          <w:tcPr>
            <w:tcW w:w="80" w:type="dxa"/>
            <w:vAlign w:val="bottom"/>
          </w:tcPr>
          <w:p>
            <w:pPr>
              <w:spacing w:after="0"/>
              <w:rPr>
                <w:sz w:val="16"/>
                <w:szCs w:val="16"/>
                <w:color w:val="auto"/>
              </w:rPr>
            </w:pP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Available-for-sale securities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1,012</w:t>
            </w:r>
          </w:p>
        </w:tc>
        <w:tc>
          <w:tcPr>
            <w:tcW w:w="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1,785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1,725</w:t>
            </w:r>
          </w:p>
        </w:tc>
      </w:tr>
      <w:tr>
        <w:trPr>
          <w:trHeight w:val="21"/>
        </w:trPr>
        <w:tc>
          <w:tcPr>
            <w:tcW w:w="80" w:type="dxa"/>
            <w:vAlign w:val="bottom"/>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bl>
    <w:p>
      <w:pPr>
        <w:spacing w:after="0" w:line="149" w:lineRule="exact"/>
        <w:rPr>
          <w:sz w:val="20"/>
          <w:szCs w:val="20"/>
          <w:color w:val="auto"/>
        </w:rPr>
      </w:pPr>
    </w:p>
    <w:p>
      <w:pPr>
        <w:ind w:left="1020" w:right="699"/>
        <w:spacing w:after="0" w:line="263"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gross gains for the nine-months ended September 30, 2020, included $75 thousand related to a previously disclosed OTTI municipal security that was settled in 2020.</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Equity Securities</w:t>
      </w:r>
    </w:p>
    <w:p>
      <w:pPr>
        <w:spacing w:after="0" w:line="161" w:lineRule="exact"/>
        <w:rPr>
          <w:sz w:val="20"/>
          <w:szCs w:val="20"/>
          <w:color w:val="auto"/>
        </w:rPr>
      </w:pPr>
    </w:p>
    <w:p>
      <w:pPr>
        <w:jc w:val="both"/>
        <w:ind w:left="660" w:right="719" w:firstLine="384"/>
        <w:spacing w:after="0" w:line="309" w:lineRule="auto"/>
        <w:rPr>
          <w:sz w:val="20"/>
          <w:szCs w:val="20"/>
          <w:color w:val="auto"/>
        </w:rPr>
      </w:pPr>
      <w:r>
        <w:rPr>
          <w:rFonts w:ascii="Arial" w:cs="Arial" w:eastAsia="Arial" w:hAnsi="Arial"/>
          <w:sz w:val="14"/>
          <w:szCs w:val="14"/>
          <w:color w:val="auto"/>
        </w:rPr>
        <w:t>Equity securities consist of a $2 million investment in a Community Reinvestment Act (“CRA”) mutual fund, a $308 thousand private equity investment and a $5 million privately-held security acquired in the fourth quarter of 2020 as part of a debt restructuring. Equity securities are included in “other assets” on the Consolidated Balance Sheets.</w:t>
      </w:r>
    </w:p>
    <w:p>
      <w:pPr>
        <w:spacing w:after="0" w:line="104" w:lineRule="exact"/>
        <w:rPr>
          <w:sz w:val="20"/>
          <w:szCs w:val="20"/>
          <w:color w:val="auto"/>
        </w:rPr>
      </w:pPr>
    </w:p>
    <w:p>
      <w:pPr>
        <w:ind w:left="660" w:right="639" w:firstLine="384"/>
        <w:spacing w:after="0" w:line="298" w:lineRule="auto"/>
        <w:rPr>
          <w:sz w:val="20"/>
          <w:szCs w:val="20"/>
          <w:color w:val="auto"/>
        </w:rPr>
      </w:pPr>
      <w:r>
        <w:rPr>
          <w:rFonts w:ascii="Arial" w:cs="Arial" w:eastAsia="Arial" w:hAnsi="Arial"/>
          <w:sz w:val="14"/>
          <w:szCs w:val="14"/>
          <w:color w:val="auto"/>
        </w:rPr>
        <w:t>The privately-held security was acquired in partial satisfaction of debts previously contracted at an initial value of $11 million. The Company elected a measurement alternative that allows the security to remain at cost until an impairment is identified or an observable price change for an identical or similar investment of the same issuer occurs. Impairment is recorded when there is evidence that the expected fair value of the investment has declined to below the recorded cost. During the third quarter of 2021, qualitative impairment factors required the Company to update the equity’s fair market value and the Company recorded a $6 million unrealized loss on the equity security due to a reduction in its fair market value.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following is a summary of the unrealized and realized gains and losses recognized in net income on equity securities:</w:t>
      </w:r>
    </w:p>
    <w:p>
      <w:pPr>
        <w:spacing w:after="0" w:line="240"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2021</w:t>
            </w:r>
          </w:p>
        </w:tc>
        <w:tc>
          <w:tcPr>
            <w:tcW w:w="80" w:type="dxa"/>
            <w:vAlign w:val="bottom"/>
            <w:gridSpan w:val="2"/>
          </w:tcPr>
          <w:p>
            <w:pPr>
              <w:spacing w:after="0"/>
              <w:rPr>
                <w:sz w:val="16"/>
                <w:szCs w:val="16"/>
                <w:color w:val="auto"/>
              </w:rPr>
            </w:pPr>
          </w:p>
        </w:tc>
        <w:tc>
          <w:tcPr>
            <w:tcW w:w="5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6"/>
          </w:tcPr>
          <w:p>
            <w:pPr>
              <w:jc w:val="right"/>
              <w:ind w:right="149"/>
              <w:spacing w:after="0"/>
              <w:rPr>
                <w:sz w:val="20"/>
                <w:szCs w:val="20"/>
                <w:color w:val="auto"/>
              </w:rPr>
            </w:pPr>
            <w:r>
              <w:rPr>
                <w:rFonts w:ascii="Arial" w:cs="Arial" w:eastAsia="Arial" w:hAnsi="Arial"/>
                <w:sz w:val="13"/>
                <w:szCs w:val="13"/>
                <w:i w:val="1"/>
                <w:iCs w:val="1"/>
                <w:color w:val="auto"/>
                <w:w w:val="90"/>
              </w:rPr>
              <w:t>(Dollars in thousands)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w w:val="96"/>
              </w:rPr>
              <w:t>Net gains (losses) recognized during the reporting period on equity securities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(6,210)</w:t>
            </w:r>
          </w:p>
        </w:tc>
        <w:tc>
          <w:tcPr>
            <w:tcW w:w="20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(6,243)</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620" w:type="dxa"/>
            <w:vAlign w:val="bottom"/>
          </w:tcPr>
          <w:p>
            <w:pPr>
              <w:ind w:left="60"/>
              <w:spacing w:after="0"/>
              <w:rPr>
                <w:sz w:val="20"/>
                <w:szCs w:val="20"/>
                <w:color w:val="auto"/>
              </w:rPr>
            </w:pPr>
            <w:r>
              <w:rPr>
                <w:rFonts w:ascii="Arial" w:cs="Arial" w:eastAsia="Arial" w:hAnsi="Arial"/>
                <w:sz w:val="14"/>
                <w:szCs w:val="14"/>
                <w:color w:val="auto"/>
                <w:w w:val="93"/>
              </w:rPr>
              <w:t>Less: net gains recognized during the reporting period on equity securities sold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2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during the reporting period</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 (losses) recognized during the reporting period on equity</w:t>
            </w:r>
          </w:p>
        </w:tc>
        <w:tc>
          <w:tcPr>
            <w:tcW w:w="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4"/>
                <w:szCs w:val="14"/>
                <w:color w:val="auto"/>
              </w:rPr>
            </w:pPr>
          </w:p>
        </w:tc>
        <w:tc>
          <w:tcPr>
            <w:tcW w:w="200" w:type="dxa"/>
            <w:vAlign w:val="bottom"/>
            <w:gridSpan w:val="3"/>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4"/>
                <w:szCs w:val="14"/>
                <w:color w:val="auto"/>
              </w:rPr>
            </w:pPr>
          </w:p>
        </w:tc>
        <w:tc>
          <w:tcPr>
            <w:tcW w:w="2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40" w:type="dxa"/>
            <w:vAlign w:val="bottom"/>
            <w:vMerge w:val="restart"/>
          </w:tcPr>
          <w:p>
            <w:pPr>
              <w:spacing w:after="0"/>
              <w:rPr>
                <w:sz w:val="8"/>
                <w:szCs w:val="8"/>
                <w:color w:val="auto"/>
              </w:rPr>
            </w:pPr>
          </w:p>
        </w:tc>
        <w:tc>
          <w:tcPr>
            <w:tcW w:w="46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securities still held at the reporting date</w:t>
            </w:r>
          </w:p>
        </w:tc>
        <w:tc>
          <w:tcPr>
            <w:tcW w:w="160" w:type="dxa"/>
            <w:vAlign w:val="bottom"/>
            <w:gridSpan w:val="2"/>
            <w:vMerge w:val="continue"/>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(6,210)</w:t>
            </w:r>
          </w:p>
        </w:tc>
        <w:tc>
          <w:tcPr>
            <w:tcW w:w="200" w:type="dxa"/>
            <w:vAlign w:val="bottom"/>
            <w:gridSpan w:val="3"/>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40" w:type="dxa"/>
            <w:vAlign w:val="bottom"/>
            <w:shd w:val="clear" w:color="auto" w:fill="CCEEFF"/>
          </w:tcPr>
          <w:p>
            <w:pPr>
              <w:spacing w:after="0"/>
              <w:rPr>
                <w:sz w:val="8"/>
                <w:szCs w:val="8"/>
                <w:color w:val="auto"/>
              </w:rPr>
            </w:pPr>
          </w:p>
        </w:tc>
        <w:tc>
          <w:tcPr>
            <w:tcW w:w="160" w:type="dxa"/>
            <w:vAlign w:val="bottom"/>
            <w:gridSpan w:val="2"/>
            <w:vMerge w:val="continue"/>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(6,243)</w:t>
            </w:r>
          </w:p>
        </w:tc>
        <w:tc>
          <w:tcPr>
            <w:tcW w:w="200" w:type="dxa"/>
            <w:vAlign w:val="bottom"/>
            <w:gridSpan w:val="3"/>
            <w:vMerge w:val="continue"/>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vMerge w:val="continue"/>
          </w:tcPr>
          <w:p>
            <w:pPr>
              <w:spacing w:after="0"/>
              <w:rPr>
                <w:sz w:val="8"/>
                <w:szCs w:val="8"/>
                <w:color w:val="auto"/>
              </w:rPr>
            </w:pPr>
          </w:p>
        </w:tc>
        <w:tc>
          <w:tcPr>
            <w:tcW w:w="4620" w:type="dxa"/>
            <w:vAlign w:val="bottom"/>
            <w:vMerge w:val="continue"/>
            <w:shd w:val="clear" w:color="auto" w:fill="CCEEFF"/>
          </w:tcPr>
          <w:p>
            <w:pPr>
              <w:spacing w:after="0"/>
              <w:rPr>
                <w:sz w:val="8"/>
                <w:szCs w:val="8"/>
                <w:color w:val="auto"/>
              </w:rPr>
            </w:pPr>
          </w:p>
        </w:tc>
        <w:tc>
          <w:tcPr>
            <w:tcW w:w="160" w:type="dxa"/>
            <w:vAlign w:val="bottom"/>
            <w:gridSpan w:val="2"/>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gridSpan w:val="2"/>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gridSpan w:val="2"/>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gridSpan w:val="2"/>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9019"/>
          </w:cols>
          <w:pgMar w:left="1440" w:top="448" w:right="1440" w:bottom="1440" w:gutter="0" w:footer="0" w:header="0"/>
        </w:sectPr>
      </w:pPr>
    </w:p>
    <w:bookmarkStart w:id="17" w:name="page18"/>
    <w:bookmarkEnd w:id="17"/>
    <w:p>
      <w:pPr>
        <w:spacing w:after="0"/>
        <w:tabs>
          <w:tab w:leader="none" w:pos="358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200" w:lineRule="exact"/>
        <w:rPr>
          <w:sz w:val="20"/>
          <w:szCs w:val="20"/>
          <w:color w:val="auto"/>
        </w:rPr>
      </w:pP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840" w:type="dxa"/>
            <w:vAlign w:val="bottom"/>
            <w:gridSpan w:val="3"/>
          </w:tcPr>
          <w:p>
            <w:pPr>
              <w:ind w:left="40"/>
              <w:spacing w:after="0"/>
              <w:rPr>
                <w:sz w:val="20"/>
                <w:szCs w:val="20"/>
                <w:color w:val="auto"/>
              </w:rPr>
            </w:pPr>
            <w:r>
              <w:rPr>
                <w:rFonts w:ascii="Arial" w:cs="Arial" w:eastAsia="Arial" w:hAnsi="Arial"/>
                <w:sz w:val="17"/>
                <w:szCs w:val="17"/>
                <w:b w:val="1"/>
                <w:bCs w:val="1"/>
                <w:color w:val="auto"/>
              </w:rPr>
              <w:t>Note 4:</w:t>
            </w:r>
          </w:p>
        </w:tc>
        <w:tc>
          <w:tcPr>
            <w:tcW w:w="4780" w:type="dxa"/>
            <w:vAlign w:val="bottom"/>
          </w:tcPr>
          <w:p>
            <w:pPr>
              <w:ind w:left="80"/>
              <w:spacing w:after="0"/>
              <w:rPr>
                <w:sz w:val="20"/>
                <w:szCs w:val="20"/>
                <w:color w:val="auto"/>
              </w:rPr>
            </w:pPr>
            <w:r>
              <w:rPr>
                <w:rFonts w:ascii="Arial" w:cs="Arial" w:eastAsia="Arial" w:hAnsi="Arial"/>
                <w:sz w:val="17"/>
                <w:szCs w:val="17"/>
                <w:b w:val="1"/>
                <w:bCs w:val="1"/>
                <w:color w:val="auto"/>
              </w:rPr>
              <w:t>Loans and Allowance for Loan Losses (“ALLL”)</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3"/>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2"/>
          </w:tcPr>
          <w:p>
            <w:pPr>
              <w:ind w:left="360"/>
              <w:spacing w:after="0"/>
              <w:rPr>
                <w:sz w:val="20"/>
                <w:szCs w:val="20"/>
                <w:color w:val="auto"/>
              </w:rPr>
            </w:pPr>
            <w:r>
              <w:rPr>
                <w:rFonts w:ascii="Arial" w:cs="Arial" w:eastAsia="Arial" w:hAnsi="Arial"/>
                <w:sz w:val="14"/>
                <w:szCs w:val="14"/>
                <w:color w:val="auto"/>
              </w:rPr>
              <w:t>Categories of loans at September 30, 2021 and December 31, 2020 include:</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24"/>
                <w:szCs w:val="24"/>
                <w:color w:val="auto"/>
              </w:rPr>
            </w:pPr>
          </w:p>
        </w:tc>
      </w:tr>
      <w:tr>
        <w:trPr>
          <w:trHeight w:val="178"/>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20" w:type="dxa"/>
            <w:vAlign w:val="bottom"/>
            <w:gridSpan w:val="5"/>
          </w:tcPr>
          <w:p>
            <w:pPr>
              <w:jc w:val="right"/>
              <w:ind w:right="1309"/>
              <w:spacing w:after="0"/>
              <w:rPr>
                <w:sz w:val="20"/>
                <w:szCs w:val="20"/>
                <w:color w:val="auto"/>
              </w:rPr>
            </w:pPr>
            <w:r>
              <w:rPr>
                <w:rFonts w:ascii="Arial" w:cs="Arial" w:eastAsia="Arial" w:hAnsi="Arial"/>
                <w:sz w:val="13"/>
                <w:szCs w:val="13"/>
                <w:i w:val="1"/>
                <w:iCs w:val="1"/>
                <w:color w:val="auto"/>
              </w:rPr>
              <w:t>(Dollars in thousands)</w:t>
            </w:r>
          </w:p>
        </w:tc>
        <w:tc>
          <w:tcPr>
            <w:tcW w:w="20" w:type="dxa"/>
            <w:vAlign w:val="bottom"/>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47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1,305,536</w:t>
            </w: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1,338,757</w:t>
            </w:r>
          </w:p>
        </w:tc>
        <w:tc>
          <w:tcPr>
            <w:tcW w:w="2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4"/>
                <w:szCs w:val="14"/>
                <w:color w:val="auto"/>
              </w:rPr>
              <w:t>Energy</w:t>
            </w:r>
          </w:p>
        </w:tc>
        <w:tc>
          <w:tcPr>
            <w:tcW w:w="4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296,365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345,233</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1,266,694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1,179,534</w:t>
            </w:r>
          </w:p>
        </w:tc>
        <w:tc>
          <w:tcPr>
            <w:tcW w:w="2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Construction and land development</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585,134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563,144</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and multifamily real estate</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620,877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680,932</w:t>
            </w:r>
          </w:p>
        </w:tc>
        <w:tc>
          <w:tcPr>
            <w:tcW w:w="2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Paycheck Protection Program (“PPP”)</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109,465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292,230</w:t>
            </w:r>
          </w:p>
        </w:tc>
        <w:tc>
          <w:tcPr>
            <w:tcW w:w="2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w:t>
            </w:r>
          </w:p>
        </w:tc>
        <w:tc>
          <w:tcPr>
            <w:tcW w:w="47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62,113</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55,270</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color w:val="auto"/>
                <w:w w:val="96"/>
              </w:rPr>
              <w:t>Gross loans</w:t>
            </w:r>
          </w:p>
        </w:tc>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4,246,184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right"/>
              <w:ind w:right="9"/>
              <w:spacing w:after="0"/>
              <w:rPr>
                <w:sz w:val="20"/>
                <w:szCs w:val="20"/>
                <w:color w:val="auto"/>
              </w:rPr>
            </w:pPr>
            <w:r>
              <w:rPr>
                <w:rFonts w:ascii="Arial" w:cs="Arial" w:eastAsia="Arial" w:hAnsi="Arial"/>
                <w:sz w:val="14"/>
                <w:szCs w:val="14"/>
                <w:color w:val="auto"/>
              </w:rPr>
              <w:t>4,455,100</w:t>
            </w:r>
          </w:p>
        </w:tc>
        <w:tc>
          <w:tcPr>
            <w:tcW w:w="20" w:type="dxa"/>
            <w:vAlign w:val="bottom"/>
          </w:tcPr>
          <w:p>
            <w:pPr>
              <w:spacing w:after="0"/>
              <w:rPr>
                <w:sz w:val="14"/>
                <w:szCs w:val="14"/>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Allowance for loan losses</w:t>
            </w: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64,152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75,295</w:t>
            </w:r>
          </w:p>
        </w:tc>
        <w:tc>
          <w:tcPr>
            <w:tcW w:w="2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Net deferred loan fees and costs</w:t>
            </w:r>
          </w:p>
        </w:tc>
        <w:tc>
          <w:tcPr>
            <w:tcW w:w="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13,067</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13,203</w:t>
            </w:r>
          </w:p>
        </w:tc>
        <w:tc>
          <w:tcPr>
            <w:tcW w:w="2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loans</w:t>
            </w:r>
          </w:p>
        </w:tc>
        <w:tc>
          <w:tcPr>
            <w:tcW w:w="47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4,168,965</w:t>
            </w: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4,366,602</w:t>
            </w:r>
          </w:p>
        </w:tc>
        <w:tc>
          <w:tcPr>
            <w:tcW w:w="20" w:type="dxa"/>
            <w:vAlign w:val="bottom"/>
            <w:shd w:val="clear" w:color="auto" w:fill="CCEEFF"/>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Allowance for Loan Losses</w:t>
      </w:r>
    </w:p>
    <w:p>
      <w:pPr>
        <w:spacing w:after="0" w:line="161" w:lineRule="exact"/>
        <w:rPr>
          <w:sz w:val="20"/>
          <w:szCs w:val="20"/>
          <w:color w:val="auto"/>
        </w:rPr>
      </w:pPr>
    </w:p>
    <w:p>
      <w:pPr>
        <w:ind w:left="80" w:right="160" w:firstLine="384"/>
        <w:spacing w:after="0" w:line="332" w:lineRule="auto"/>
        <w:rPr>
          <w:sz w:val="20"/>
          <w:szCs w:val="20"/>
          <w:color w:val="auto"/>
        </w:rPr>
      </w:pPr>
      <w:r>
        <w:rPr>
          <w:rFonts w:ascii="Arial" w:cs="Arial" w:eastAsia="Arial" w:hAnsi="Arial"/>
          <w:sz w:val="14"/>
          <w:szCs w:val="14"/>
          <w:color w:val="auto"/>
        </w:rPr>
        <w:t>The ALLL is established as losses are estimated to have occurred through a provision for loan losses charged to income. Loan losses are charged against the allowance when management believes the loan balance is not collectible. Subsequent recoveries, if any, are credited to the allowance.</w:t>
      </w:r>
    </w:p>
    <w:p>
      <w:pPr>
        <w:spacing w:after="0" w:line="77" w:lineRule="exact"/>
        <w:rPr>
          <w:sz w:val="20"/>
          <w:szCs w:val="20"/>
          <w:color w:val="auto"/>
        </w:rPr>
      </w:pPr>
    </w:p>
    <w:p>
      <w:pPr>
        <w:ind w:left="80" w:right="100" w:firstLine="384"/>
        <w:spacing w:after="0" w:line="342" w:lineRule="auto"/>
        <w:rPr>
          <w:sz w:val="20"/>
          <w:szCs w:val="20"/>
          <w:color w:val="auto"/>
        </w:rPr>
      </w:pPr>
      <w:r>
        <w:rPr>
          <w:rFonts w:ascii="Arial" w:cs="Arial" w:eastAsia="Arial" w:hAnsi="Arial"/>
          <w:sz w:val="13"/>
          <w:szCs w:val="13"/>
          <w:color w:val="auto"/>
        </w:rPr>
        <w:t>The ALLL is evaluated on a regular basis by management and is based upon management’s periodic review of its ability to collect the loans considering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76" w:lineRule="exact"/>
        <w:rPr>
          <w:sz w:val="20"/>
          <w:szCs w:val="20"/>
          <w:color w:val="auto"/>
        </w:rPr>
      </w:pPr>
    </w:p>
    <w:p>
      <w:pPr>
        <w:ind w:left="80" w:right="100" w:firstLine="384"/>
        <w:spacing w:after="0" w:line="301" w:lineRule="auto"/>
        <w:rPr>
          <w:sz w:val="20"/>
          <w:szCs w:val="20"/>
          <w:color w:val="auto"/>
        </w:rPr>
      </w:pPr>
      <w:r>
        <w:rPr>
          <w:rFonts w:ascii="Arial" w:cs="Arial" w:eastAsia="Arial" w:hAnsi="Arial"/>
          <w:sz w:val="14"/>
          <w:szCs w:val="14"/>
          <w:color w:val="auto"/>
        </w:rPr>
        <w:t>The ALLL consists of allocated and general components. The allocated component relates to loans that are classified as impaired. For those loans that are classified as impaired, an allowance is established when the discounted cash flows (or collateral value or observable market price) of the impaired loan is lower than the carrying value of that loan. The general component covers all loans on accrual and is based on historical charge-off experience and expected loss given default derived from the Company’s internal risk rating process and loan categories. Other adjustments may be made to the allowance for pools of loans after an assessment of internal or external influences on credit quality that are not fully reflected in the historical loss or risk rating data.</w:t>
      </w:r>
    </w:p>
    <w:p>
      <w:pPr>
        <w:spacing w:after="0" w:line="100" w:lineRule="exact"/>
        <w:rPr>
          <w:sz w:val="20"/>
          <w:szCs w:val="20"/>
          <w:color w:val="auto"/>
        </w:rPr>
      </w:pPr>
    </w:p>
    <w:p>
      <w:pPr>
        <w:ind w:left="80" w:right="180" w:firstLine="384"/>
        <w:spacing w:after="0" w:line="332" w:lineRule="auto"/>
        <w:rPr>
          <w:sz w:val="20"/>
          <w:szCs w:val="20"/>
          <w:color w:val="auto"/>
        </w:rPr>
      </w:pPr>
      <w:r>
        <w:rPr>
          <w:rFonts w:ascii="Arial" w:cs="Arial" w:eastAsia="Arial" w:hAnsi="Arial"/>
          <w:sz w:val="14"/>
          <w:szCs w:val="14"/>
          <w:color w:val="auto"/>
        </w:rPr>
        <w:t>The Company evaluates the loan risk grading system definitions, portfolio segment definitions and ALLL methodology on an ongoing basis. No changes to loan definitions, segmentation, and ALLL methodology occurred during the third quarter of 2021.</w:t>
      </w:r>
    </w:p>
    <w:p>
      <w:pPr>
        <w:spacing w:after="0" w:line="77" w:lineRule="exact"/>
        <w:rPr>
          <w:sz w:val="20"/>
          <w:szCs w:val="20"/>
          <w:color w:val="auto"/>
        </w:rPr>
      </w:pPr>
    </w:p>
    <w:p>
      <w:pPr>
        <w:ind w:left="80" w:right="280" w:firstLine="384"/>
        <w:spacing w:after="0" w:line="316" w:lineRule="auto"/>
        <w:rPr>
          <w:sz w:val="20"/>
          <w:szCs w:val="20"/>
          <w:color w:val="auto"/>
        </w:rPr>
      </w:pPr>
      <w:r>
        <w:rPr>
          <w:rFonts w:ascii="Arial" w:cs="Arial" w:eastAsia="Arial" w:hAnsi="Arial"/>
          <w:sz w:val="14"/>
          <w:szCs w:val="14"/>
          <w:color w:val="auto"/>
        </w:rPr>
        <w:t>The following tables summarize the activity in the ALLL by portfolio segment and disaggregated based on the Company’s impairment methodology. The allocation in one portfolio segment does not preclude its availability to absorb losses in other segments:</w:t>
      </w: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460"/>
          </w:cols>
          <w:pgMar w:left="820" w:top="459" w:right="6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226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gridSpan w:val="12"/>
          </w:tcPr>
          <w:p>
            <w:pPr>
              <w:jc w:val="right"/>
              <w:ind w:right="516"/>
              <w:spacing w:after="0"/>
              <w:rPr>
                <w:sz w:val="20"/>
                <w:szCs w:val="20"/>
                <w:color w:val="auto"/>
              </w:rPr>
            </w:pPr>
            <w:r>
              <w:rPr>
                <w:rFonts w:ascii="Arial" w:cs="Arial" w:eastAsia="Arial" w:hAnsi="Arial"/>
                <w:sz w:val="14"/>
                <w:szCs w:val="14"/>
                <w:color w:val="auto"/>
                <w:w w:val="97"/>
              </w:rPr>
              <w:t>Notes to Consolidated Financial Statements (unaudited)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663"/>
        </w:trPr>
        <w:tc>
          <w:tcPr>
            <w:tcW w:w="1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jc w:val="center"/>
              <w:ind w:right="36"/>
              <w:spacing w:after="0"/>
              <w:rPr>
                <w:sz w:val="20"/>
                <w:szCs w:val="20"/>
                <w:color w:val="auto"/>
              </w:rPr>
            </w:pPr>
            <w:r>
              <w:rPr>
                <w:rFonts w:ascii="Arial" w:cs="Arial" w:eastAsia="Arial" w:hAnsi="Arial"/>
                <w:sz w:val="13"/>
                <w:szCs w:val="13"/>
                <w:b w:val="1"/>
                <w:bCs w:val="1"/>
                <w:color w:val="auto"/>
                <w:w w:val="89"/>
              </w:rPr>
              <w:t>Construction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87"/>
              </w:rPr>
              <w:t>Residential and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96"/>
              <w:spacing w:after="0"/>
              <w:rPr>
                <w:sz w:val="20"/>
                <w:szCs w:val="20"/>
                <w:color w:val="auto"/>
              </w:rPr>
            </w:pPr>
            <w:r>
              <w:rPr>
                <w:rFonts w:ascii="Arial" w:cs="Arial" w:eastAsia="Arial" w:hAnsi="Arial"/>
                <w:sz w:val="13"/>
                <w:szCs w:val="13"/>
                <w:b w:val="1"/>
                <w:bCs w:val="1"/>
                <w:color w:val="auto"/>
                <w:w w:val="88"/>
              </w:rPr>
              <w:t>Commercial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16"/>
              <w:spacing w:after="0"/>
              <w:rPr>
                <w:sz w:val="20"/>
                <w:szCs w:val="20"/>
                <w:color w:val="auto"/>
              </w:rPr>
            </w:pPr>
            <w:r>
              <w:rPr>
                <w:rFonts w:ascii="Arial" w:cs="Arial" w:eastAsia="Arial" w:hAnsi="Arial"/>
                <w:sz w:val="13"/>
                <w:szCs w:val="13"/>
                <w:b w:val="1"/>
                <w:bCs w:val="1"/>
                <w:color w:val="auto"/>
                <w:w w:val="89"/>
              </w:rPr>
              <w:t>Land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ind w:right="96"/>
              <w:spacing w:after="0"/>
              <w:rPr>
                <w:sz w:val="20"/>
                <w:szCs w:val="20"/>
                <w:color w:val="auto"/>
              </w:rPr>
            </w:pPr>
            <w:r>
              <w:rPr>
                <w:rFonts w:ascii="Arial" w:cs="Arial" w:eastAsia="Arial" w:hAnsi="Arial"/>
                <w:sz w:val="13"/>
                <w:szCs w:val="13"/>
                <w:b w:val="1"/>
                <w:bCs w:val="1"/>
                <w:color w:val="auto"/>
                <w:w w:val="97"/>
              </w:rPr>
              <w:t>Multifamily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6"/>
              <w:spacing w:after="0" w:line="139" w:lineRule="exact"/>
              <w:rPr>
                <w:sz w:val="20"/>
                <w:szCs w:val="20"/>
                <w:color w:val="auto"/>
              </w:rPr>
            </w:pPr>
            <w:r>
              <w:rPr>
                <w:rFonts w:ascii="Arial" w:cs="Arial" w:eastAsia="Arial" w:hAnsi="Arial"/>
                <w:sz w:val="13"/>
                <w:szCs w:val="13"/>
                <w:b w:val="1"/>
                <w:bCs w:val="1"/>
                <w:color w:val="auto"/>
                <w:w w:val="88"/>
              </w:rPr>
              <w:t>Commercial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39" w:lineRule="exact"/>
              <w:rPr>
                <w:sz w:val="20"/>
                <w:szCs w:val="20"/>
                <w:color w:val="auto"/>
              </w:rPr>
            </w:pPr>
            <w:r>
              <w:rPr>
                <w:rFonts w:ascii="Arial" w:cs="Arial" w:eastAsia="Arial" w:hAnsi="Arial"/>
                <w:sz w:val="13"/>
                <w:szCs w:val="13"/>
                <w:b w:val="1"/>
                <w:bCs w:val="1"/>
                <w:color w:val="auto"/>
              </w:rPr>
              <w:t>Energy</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96"/>
              <w:spacing w:after="0" w:line="139" w:lineRule="exact"/>
              <w:rPr>
                <w:sz w:val="20"/>
                <w:szCs w:val="20"/>
                <w:color w:val="auto"/>
              </w:rPr>
            </w:pPr>
            <w:r>
              <w:rPr>
                <w:rFonts w:ascii="Arial" w:cs="Arial" w:eastAsia="Arial" w:hAnsi="Arial"/>
                <w:sz w:val="13"/>
                <w:szCs w:val="13"/>
                <w:b w:val="1"/>
                <w:bCs w:val="1"/>
                <w:color w:val="auto"/>
                <w:w w:val="88"/>
              </w:rPr>
              <w:t>Real Estate</w:t>
            </w: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16"/>
              <w:spacing w:after="0" w:line="139" w:lineRule="exact"/>
              <w:rPr>
                <w:sz w:val="20"/>
                <w:szCs w:val="20"/>
                <w:color w:val="auto"/>
              </w:rPr>
            </w:pPr>
            <w:r>
              <w:rPr>
                <w:rFonts w:ascii="Arial" w:cs="Arial" w:eastAsia="Arial" w:hAnsi="Arial"/>
                <w:sz w:val="13"/>
                <w:szCs w:val="13"/>
                <w:b w:val="1"/>
                <w:bCs w:val="1"/>
                <w:color w:val="auto"/>
                <w:w w:val="88"/>
              </w:rPr>
              <w:t>Development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76"/>
              <w:spacing w:after="0" w:line="139" w:lineRule="exact"/>
              <w:rPr>
                <w:sz w:val="20"/>
                <w:szCs w:val="20"/>
                <w:color w:val="auto"/>
              </w:rPr>
            </w:pPr>
            <w:r>
              <w:rPr>
                <w:rFonts w:ascii="Arial" w:cs="Arial" w:eastAsia="Arial" w:hAnsi="Arial"/>
                <w:sz w:val="13"/>
                <w:szCs w:val="13"/>
                <w:b w:val="1"/>
                <w:bCs w:val="1"/>
                <w:color w:val="auto"/>
                <w:w w:val="91"/>
              </w:rPr>
              <w:t>Real Estate</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6"/>
              <w:spacing w:after="0" w:line="139" w:lineRule="exact"/>
              <w:rPr>
                <w:sz w:val="20"/>
                <w:szCs w:val="20"/>
                <w:color w:val="auto"/>
              </w:rPr>
            </w:pPr>
            <w:r>
              <w:rPr>
                <w:rFonts w:ascii="Arial" w:cs="Arial" w:eastAsia="Arial" w:hAnsi="Arial"/>
                <w:sz w:val="13"/>
                <w:szCs w:val="13"/>
                <w:b w:val="1"/>
                <w:bCs w:val="1"/>
                <w:color w:val="auto"/>
              </w:rPr>
              <w:t>PPP</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56"/>
              <w:spacing w:after="0" w:line="139" w:lineRule="exact"/>
              <w:rPr>
                <w:sz w:val="20"/>
                <w:szCs w:val="20"/>
                <w:color w:val="auto"/>
              </w:rPr>
            </w:pPr>
            <w:r>
              <w:rPr>
                <w:rFonts w:ascii="Arial" w:cs="Arial" w:eastAsia="Arial" w:hAnsi="Arial"/>
                <w:sz w:val="13"/>
                <w:szCs w:val="13"/>
                <w:b w:val="1"/>
                <w:bCs w:val="1"/>
                <w:color w:val="auto"/>
                <w:w w:val="90"/>
              </w:rPr>
              <w:t>Consumer</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6"/>
              <w:spacing w:after="0" w:line="13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2"/>
                <w:szCs w:val="12"/>
                <w:color w:val="auto"/>
              </w:rPr>
            </w:pPr>
          </w:p>
        </w:tc>
      </w:tr>
      <w:tr>
        <w:trPr>
          <w:trHeight w:val="170"/>
        </w:trPr>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416"/>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100" w:type="dxa"/>
            <w:vAlign w:val="bottom"/>
          </w:tcPr>
          <w:p>
            <w:pPr>
              <w:spacing w:after="0"/>
              <w:rPr>
                <w:sz w:val="13"/>
                <w:szCs w:val="13"/>
                <w:color w:val="auto"/>
              </w:rPr>
            </w:pPr>
          </w:p>
        </w:tc>
        <w:tc>
          <w:tcPr>
            <w:tcW w:w="22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3"/>
                <w:szCs w:val="13"/>
                <w:b w:val="1"/>
                <w:bCs w:val="1"/>
                <w:color w:val="auto"/>
                <w:w w:val="87"/>
              </w:rPr>
              <w:t>Three Months Ended September 30, 2021</w:t>
            </w:r>
          </w:p>
        </w:tc>
        <w:tc>
          <w:tcPr>
            <w:tcW w:w="8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68"/>
        </w:trPr>
        <w:tc>
          <w:tcPr>
            <w:tcW w:w="2260" w:type="dxa"/>
            <w:vAlign w:val="bottom"/>
            <w:gridSpan w:val="3"/>
          </w:tcPr>
          <w:p>
            <w:pPr>
              <w:ind w:left="80"/>
              <w:spacing w:after="0"/>
              <w:rPr>
                <w:sz w:val="20"/>
                <w:szCs w:val="20"/>
                <w:color w:val="auto"/>
              </w:rPr>
            </w:pPr>
            <w:r>
              <w:rPr>
                <w:rFonts w:ascii="Arial" w:cs="Arial" w:eastAsia="Arial" w:hAnsi="Arial"/>
                <w:sz w:val="13"/>
                <w:szCs w:val="13"/>
                <w:color w:val="auto"/>
              </w:rPr>
              <w:t>Allowance for loan losses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100" w:type="dxa"/>
            <w:vAlign w:val="bottom"/>
          </w:tcPr>
          <w:p>
            <w:pPr>
              <w:spacing w:after="0"/>
              <w:rPr>
                <w:sz w:val="13"/>
                <w:szCs w:val="13"/>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28,433</w:t>
            </w:r>
          </w:p>
        </w:tc>
        <w:tc>
          <w:tcPr>
            <w:tcW w:w="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17,849</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19,181</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3,885</w:t>
            </w:r>
          </w:p>
        </w:tc>
        <w:tc>
          <w:tcPr>
            <w:tcW w:w="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5,826</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319</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75,493</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100" w:type="dxa"/>
            <w:vAlign w:val="bottom"/>
          </w:tcPr>
          <w:p>
            <w:pPr>
              <w:spacing w:after="0"/>
              <w:rPr>
                <w:sz w:val="14"/>
                <w:szCs w:val="14"/>
                <w:color w:val="auto"/>
              </w:rPr>
            </w:pPr>
          </w:p>
        </w:tc>
        <w:tc>
          <w:tcPr>
            <w:tcW w:w="2160" w:type="dxa"/>
            <w:vAlign w:val="bottom"/>
            <w:gridSpan w:val="2"/>
          </w:tcPr>
          <w:p>
            <w:pPr>
              <w:ind w:left="60"/>
              <w:spacing w:after="0"/>
              <w:rPr>
                <w:sz w:val="20"/>
                <w:szCs w:val="20"/>
                <w:color w:val="auto"/>
              </w:rPr>
            </w:pPr>
            <w:r>
              <w:rPr>
                <w:rFonts w:ascii="Arial" w:cs="Arial" w:eastAsia="Arial" w:hAnsi="Arial"/>
                <w:sz w:val="13"/>
                <w:szCs w:val="13"/>
                <w:color w:val="auto"/>
              </w:rPr>
              <w:t>Provision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(3,666)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(4,798)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(694)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(10,000)</w:t>
            </w:r>
          </w:p>
        </w:tc>
        <w:tc>
          <w:tcPr>
            <w:tcW w:w="20" w:type="dxa"/>
            <w:vAlign w:val="bottom"/>
          </w:tcPr>
          <w:p>
            <w:pPr>
              <w:spacing w:after="0"/>
              <w:rPr>
                <w:sz w:val="14"/>
                <w:szCs w:val="14"/>
                <w:color w:val="auto"/>
              </w:rPr>
            </w:pPr>
          </w:p>
        </w:tc>
      </w:tr>
      <w:tr>
        <w:trPr>
          <w:trHeight w:val="151"/>
        </w:trPr>
        <w:tc>
          <w:tcPr>
            <w:tcW w:w="100" w:type="dxa"/>
            <w:vAlign w:val="bottom"/>
          </w:tcPr>
          <w:p>
            <w:pPr>
              <w:spacing w:after="0"/>
              <w:rPr>
                <w:sz w:val="13"/>
                <w:szCs w:val="13"/>
                <w:color w:val="auto"/>
              </w:rPr>
            </w:pPr>
          </w:p>
        </w:tc>
        <w:tc>
          <w:tcPr>
            <w:tcW w:w="2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(1,071)</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(503)</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(1,575)</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2160" w:type="dxa"/>
            <w:vAlign w:val="bottom"/>
            <w:gridSpan w:val="2"/>
          </w:tcPr>
          <w:p>
            <w:pPr>
              <w:ind w:left="6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225</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234</w:t>
            </w:r>
          </w:p>
        </w:tc>
        <w:tc>
          <w:tcPr>
            <w:tcW w:w="20" w:type="dxa"/>
            <w:vAlign w:val="bottom"/>
          </w:tcPr>
          <w:p>
            <w:pPr>
              <w:spacing w:after="0"/>
              <w:rPr>
                <w:sz w:val="13"/>
                <w:szCs w:val="13"/>
                <w:color w:val="auto"/>
              </w:rPr>
            </w:pPr>
          </w:p>
        </w:tc>
      </w:tr>
      <w:tr>
        <w:trPr>
          <w:trHeight w:val="20"/>
        </w:trPr>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00" w:type="dxa"/>
            <w:vAlign w:val="bottom"/>
          </w:tcPr>
          <w:p>
            <w:pPr>
              <w:spacing w:after="0"/>
              <w:rPr>
                <w:sz w:val="13"/>
                <w:szCs w:val="13"/>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Ending balance</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23,921</w:t>
            </w: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12,548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18,945</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3,191</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5,270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277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64,152</w:t>
            </w:r>
          </w:p>
        </w:tc>
        <w:tc>
          <w:tcPr>
            <w:tcW w:w="20" w:type="dxa"/>
            <w:vAlign w:val="bottom"/>
            <w:shd w:val="clear" w:color="auto" w:fill="CCEEFF"/>
          </w:tcPr>
          <w:p>
            <w:pPr>
              <w:spacing w:after="0"/>
              <w:rPr>
                <w:sz w:val="13"/>
                <w:szCs w:val="13"/>
                <w:color w:val="auto"/>
              </w:rPr>
            </w:pPr>
          </w:p>
        </w:tc>
      </w:tr>
      <w:tr>
        <w:trPr>
          <w:trHeight w:val="20"/>
        </w:trPr>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16"/>
        </w:trPr>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jc w:val="center"/>
              <w:ind w:right="36"/>
              <w:spacing w:after="0"/>
              <w:rPr>
                <w:sz w:val="20"/>
                <w:szCs w:val="20"/>
                <w:color w:val="auto"/>
              </w:rPr>
            </w:pPr>
            <w:r>
              <w:rPr>
                <w:rFonts w:ascii="Arial" w:cs="Arial" w:eastAsia="Arial" w:hAnsi="Arial"/>
                <w:sz w:val="13"/>
                <w:szCs w:val="13"/>
                <w:b w:val="1"/>
                <w:bCs w:val="1"/>
                <w:color w:val="auto"/>
                <w:w w:val="89"/>
              </w:rPr>
              <w:t>Construction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87"/>
              </w:rPr>
              <w:t>Residential and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96"/>
              <w:spacing w:after="0"/>
              <w:rPr>
                <w:sz w:val="20"/>
                <w:szCs w:val="20"/>
                <w:color w:val="auto"/>
              </w:rPr>
            </w:pPr>
            <w:r>
              <w:rPr>
                <w:rFonts w:ascii="Arial" w:cs="Arial" w:eastAsia="Arial" w:hAnsi="Arial"/>
                <w:sz w:val="13"/>
                <w:szCs w:val="13"/>
                <w:b w:val="1"/>
                <w:bCs w:val="1"/>
                <w:color w:val="auto"/>
                <w:w w:val="88"/>
              </w:rPr>
              <w:t>Commercial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16"/>
              <w:spacing w:after="0"/>
              <w:rPr>
                <w:sz w:val="20"/>
                <w:szCs w:val="20"/>
                <w:color w:val="auto"/>
              </w:rPr>
            </w:pPr>
            <w:r>
              <w:rPr>
                <w:rFonts w:ascii="Arial" w:cs="Arial" w:eastAsia="Arial" w:hAnsi="Arial"/>
                <w:sz w:val="13"/>
                <w:szCs w:val="13"/>
                <w:b w:val="1"/>
                <w:bCs w:val="1"/>
                <w:color w:val="auto"/>
                <w:w w:val="89"/>
              </w:rPr>
              <w:t>Land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ind w:right="96"/>
              <w:spacing w:after="0"/>
              <w:rPr>
                <w:sz w:val="20"/>
                <w:szCs w:val="20"/>
                <w:color w:val="auto"/>
              </w:rPr>
            </w:pPr>
            <w:r>
              <w:rPr>
                <w:rFonts w:ascii="Arial" w:cs="Arial" w:eastAsia="Arial" w:hAnsi="Arial"/>
                <w:sz w:val="13"/>
                <w:szCs w:val="13"/>
                <w:b w:val="1"/>
                <w:bCs w:val="1"/>
                <w:color w:val="auto"/>
                <w:w w:val="97"/>
              </w:rPr>
              <w:t>Multifamily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8"/>
              </w:rPr>
              <w:t>Commercial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Energy</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8"/>
              </w:rPr>
              <w:t>Real Estate</w:t>
            </w: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88"/>
              </w:rPr>
              <w:t>Development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1"/>
              </w:rPr>
              <w:t>Real Estate</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PPP</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90"/>
              </w:rPr>
              <w:t>Consumer</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2"/>
                <w:szCs w:val="12"/>
                <w:color w:val="auto"/>
              </w:rPr>
            </w:pPr>
          </w:p>
        </w:tc>
      </w:tr>
      <w:tr>
        <w:trPr>
          <w:trHeight w:val="159"/>
        </w:trPr>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5"/>
          </w:tcPr>
          <w:p>
            <w:pPr>
              <w:jc w:val="right"/>
              <w:ind w:right="416"/>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100" w:type="dxa"/>
            <w:vAlign w:val="bottom"/>
          </w:tcPr>
          <w:p>
            <w:pPr>
              <w:spacing w:after="0"/>
              <w:rPr>
                <w:sz w:val="15"/>
                <w:szCs w:val="15"/>
                <w:color w:val="auto"/>
              </w:rPr>
            </w:pPr>
          </w:p>
        </w:tc>
        <w:tc>
          <w:tcPr>
            <w:tcW w:w="2260" w:type="dxa"/>
            <w:vAlign w:val="bottom"/>
            <w:gridSpan w:val="4"/>
            <w:shd w:val="clear" w:color="auto" w:fill="CCEEFF"/>
          </w:tcPr>
          <w:p>
            <w:pPr>
              <w:ind w:left="20"/>
              <w:spacing w:after="0"/>
              <w:rPr>
                <w:sz w:val="20"/>
                <w:szCs w:val="20"/>
                <w:color w:val="auto"/>
              </w:rPr>
            </w:pPr>
            <w:r>
              <w:rPr>
                <w:rFonts w:ascii="Arial" w:cs="Arial" w:eastAsia="Arial" w:hAnsi="Arial"/>
                <w:sz w:val="13"/>
                <w:szCs w:val="13"/>
                <w:b w:val="1"/>
                <w:bCs w:val="1"/>
                <w:color w:val="auto"/>
                <w:w w:val="87"/>
              </w:rPr>
              <w:t>Three Months Ended September 30, 2020</w:t>
            </w: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68"/>
        </w:trPr>
        <w:tc>
          <w:tcPr>
            <w:tcW w:w="2260" w:type="dxa"/>
            <w:vAlign w:val="bottom"/>
            <w:gridSpan w:val="3"/>
          </w:tcPr>
          <w:p>
            <w:pPr>
              <w:ind w:left="80"/>
              <w:spacing w:after="0"/>
              <w:rPr>
                <w:sz w:val="20"/>
                <w:szCs w:val="20"/>
                <w:color w:val="auto"/>
              </w:rPr>
            </w:pPr>
            <w:r>
              <w:rPr>
                <w:rFonts w:ascii="Arial" w:cs="Arial" w:eastAsia="Arial" w:hAnsi="Arial"/>
                <w:sz w:val="13"/>
                <w:szCs w:val="13"/>
                <w:color w:val="auto"/>
              </w:rPr>
              <w:t>Allowance for loan losses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100" w:type="dxa"/>
            <w:vAlign w:val="bottom"/>
          </w:tcPr>
          <w:p>
            <w:pPr>
              <w:spacing w:after="0"/>
              <w:rPr>
                <w:sz w:val="15"/>
                <w:szCs w:val="15"/>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26,543</w:t>
            </w: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17,372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16,899</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5,019</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4,868</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484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71,185</w:t>
            </w:r>
          </w:p>
        </w:tc>
        <w:tc>
          <w:tcPr>
            <w:tcW w:w="20" w:type="dxa"/>
            <w:vAlign w:val="bottom"/>
            <w:shd w:val="clear" w:color="auto" w:fill="CCEEFF"/>
          </w:tcPr>
          <w:p>
            <w:pPr>
              <w:spacing w:after="0"/>
              <w:rPr>
                <w:sz w:val="15"/>
                <w:szCs w:val="15"/>
                <w:color w:val="auto"/>
              </w:rPr>
            </w:pPr>
          </w:p>
        </w:tc>
      </w:tr>
      <w:tr>
        <w:trPr>
          <w:trHeight w:val="171"/>
        </w:trPr>
        <w:tc>
          <w:tcPr>
            <w:tcW w:w="100" w:type="dxa"/>
            <w:vAlign w:val="bottom"/>
          </w:tcPr>
          <w:p>
            <w:pPr>
              <w:spacing w:after="0"/>
              <w:rPr>
                <w:sz w:val="14"/>
                <w:szCs w:val="14"/>
                <w:color w:val="auto"/>
              </w:rPr>
            </w:pPr>
          </w:p>
        </w:tc>
        <w:tc>
          <w:tcPr>
            <w:tcW w:w="2160" w:type="dxa"/>
            <w:vAlign w:val="bottom"/>
            <w:gridSpan w:val="2"/>
          </w:tcPr>
          <w:p>
            <w:pPr>
              <w:ind w:left="60"/>
              <w:spacing w:after="0"/>
              <w:rPr>
                <w:sz w:val="20"/>
                <w:szCs w:val="20"/>
                <w:color w:val="auto"/>
              </w:rPr>
            </w:pPr>
            <w:r>
              <w:rPr>
                <w:rFonts w:ascii="Arial" w:cs="Arial" w:eastAsia="Arial" w:hAnsi="Arial"/>
                <w:sz w:val="13"/>
                <w:szCs w:val="13"/>
                <w:color w:val="auto"/>
              </w:rPr>
              <w:t>Provision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7,439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5"/>
              <w:spacing w:after="0"/>
              <w:rPr>
                <w:sz w:val="20"/>
                <w:szCs w:val="20"/>
                <w:color w:val="auto"/>
              </w:rPr>
            </w:pPr>
            <w:r>
              <w:rPr>
                <w:rFonts w:ascii="Arial" w:cs="Arial" w:eastAsia="Arial" w:hAnsi="Arial"/>
                <w:sz w:val="13"/>
                <w:szCs w:val="13"/>
                <w:color w:val="auto"/>
              </w:rPr>
              <w:t>2,168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908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882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10,875</w:t>
            </w:r>
          </w:p>
        </w:tc>
        <w:tc>
          <w:tcPr>
            <w:tcW w:w="20" w:type="dxa"/>
            <w:vAlign w:val="bottom"/>
          </w:tcPr>
          <w:p>
            <w:pPr>
              <w:spacing w:after="0"/>
              <w:rPr>
                <w:sz w:val="14"/>
                <w:szCs w:val="14"/>
                <w:color w:val="auto"/>
              </w:rPr>
            </w:pPr>
          </w:p>
        </w:tc>
      </w:tr>
      <w:tr>
        <w:trPr>
          <w:trHeight w:val="171"/>
        </w:trPr>
        <w:tc>
          <w:tcPr>
            <w:tcW w:w="100" w:type="dxa"/>
            <w:vAlign w:val="bottom"/>
          </w:tcPr>
          <w:p>
            <w:pPr>
              <w:spacing w:after="0"/>
              <w:rPr>
                <w:sz w:val="14"/>
                <w:szCs w:val="14"/>
                <w:color w:val="auto"/>
              </w:rPr>
            </w:pPr>
          </w:p>
        </w:tc>
        <w:tc>
          <w:tcPr>
            <w:tcW w:w="21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(6,037)</w:t>
            </w:r>
          </w:p>
        </w:tc>
        <w:tc>
          <w:tcPr>
            <w:tcW w:w="20" w:type="dxa"/>
            <w:vAlign w:val="bottom"/>
            <w:shd w:val="clear" w:color="auto" w:fill="CCEEFF"/>
          </w:tcPr>
          <w:p>
            <w:pPr>
              <w:spacing w:after="0"/>
              <w:rPr>
                <w:sz w:val="14"/>
                <w:szCs w:val="14"/>
                <w:color w:val="auto"/>
              </w:rPr>
            </w:pPr>
          </w:p>
        </w:tc>
      </w:tr>
      <w:tr>
        <w:trPr>
          <w:trHeight w:val="171"/>
        </w:trPr>
        <w:tc>
          <w:tcPr>
            <w:tcW w:w="100" w:type="dxa"/>
            <w:vAlign w:val="bottom"/>
          </w:tcPr>
          <w:p>
            <w:pPr>
              <w:spacing w:after="0"/>
              <w:rPr>
                <w:sz w:val="14"/>
                <w:szCs w:val="14"/>
                <w:color w:val="auto"/>
              </w:rPr>
            </w:pPr>
          </w:p>
        </w:tc>
        <w:tc>
          <w:tcPr>
            <w:tcW w:w="2160" w:type="dxa"/>
            <w:vAlign w:val="bottom"/>
            <w:gridSpan w:val="2"/>
          </w:tcPr>
          <w:p>
            <w:pPr>
              <w:ind w:left="6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r>
      <w:tr>
        <w:trPr>
          <w:trHeight w:val="172"/>
        </w:trPr>
        <w:tc>
          <w:tcPr>
            <w:tcW w:w="100" w:type="dxa"/>
            <w:vAlign w:val="bottom"/>
          </w:tcPr>
          <w:p>
            <w:pPr>
              <w:spacing w:after="0"/>
              <w:rPr>
                <w:sz w:val="14"/>
                <w:szCs w:val="14"/>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Ending balance</w:t>
            </w: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28,203</w:t>
            </w:r>
          </w:p>
        </w:tc>
        <w:tc>
          <w:tcPr>
            <w:tcW w:w="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19,540</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17,807</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4,489</w:t>
            </w:r>
          </w:p>
        </w:tc>
        <w:tc>
          <w:tcPr>
            <w:tcW w:w="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5,494</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502</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76,035</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73"/>
        </w:trPr>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jc w:val="center"/>
              <w:ind w:right="36"/>
              <w:spacing w:after="0"/>
              <w:rPr>
                <w:sz w:val="20"/>
                <w:szCs w:val="20"/>
                <w:color w:val="auto"/>
              </w:rPr>
            </w:pPr>
            <w:r>
              <w:rPr>
                <w:rFonts w:ascii="Arial" w:cs="Arial" w:eastAsia="Arial" w:hAnsi="Arial"/>
                <w:sz w:val="13"/>
                <w:szCs w:val="13"/>
                <w:b w:val="1"/>
                <w:bCs w:val="1"/>
                <w:color w:val="auto"/>
                <w:w w:val="89"/>
              </w:rPr>
              <w:t>Construction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87"/>
              </w:rPr>
              <w:t>Residential and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96"/>
              <w:spacing w:after="0"/>
              <w:rPr>
                <w:sz w:val="20"/>
                <w:szCs w:val="20"/>
                <w:color w:val="auto"/>
              </w:rPr>
            </w:pPr>
            <w:r>
              <w:rPr>
                <w:rFonts w:ascii="Arial" w:cs="Arial" w:eastAsia="Arial" w:hAnsi="Arial"/>
                <w:sz w:val="13"/>
                <w:szCs w:val="13"/>
                <w:b w:val="1"/>
                <w:bCs w:val="1"/>
                <w:color w:val="auto"/>
                <w:w w:val="88"/>
              </w:rPr>
              <w:t>Commercial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16"/>
              <w:spacing w:after="0"/>
              <w:rPr>
                <w:sz w:val="20"/>
                <w:szCs w:val="20"/>
                <w:color w:val="auto"/>
              </w:rPr>
            </w:pPr>
            <w:r>
              <w:rPr>
                <w:rFonts w:ascii="Arial" w:cs="Arial" w:eastAsia="Arial" w:hAnsi="Arial"/>
                <w:sz w:val="13"/>
                <w:szCs w:val="13"/>
                <w:b w:val="1"/>
                <w:bCs w:val="1"/>
                <w:color w:val="auto"/>
                <w:w w:val="89"/>
              </w:rPr>
              <w:t>Land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ind w:right="96"/>
              <w:spacing w:after="0"/>
              <w:rPr>
                <w:sz w:val="20"/>
                <w:szCs w:val="20"/>
                <w:color w:val="auto"/>
              </w:rPr>
            </w:pPr>
            <w:r>
              <w:rPr>
                <w:rFonts w:ascii="Arial" w:cs="Arial" w:eastAsia="Arial" w:hAnsi="Arial"/>
                <w:sz w:val="13"/>
                <w:szCs w:val="13"/>
                <w:b w:val="1"/>
                <w:bCs w:val="1"/>
                <w:color w:val="auto"/>
                <w:w w:val="97"/>
              </w:rPr>
              <w:t>Multifamily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8"/>
              </w:rPr>
              <w:t>Commercial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Energy</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8"/>
              </w:rPr>
              <w:t>Real Estate</w:t>
            </w: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88"/>
              </w:rPr>
              <w:t>Development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1"/>
              </w:rPr>
              <w:t>Real Estate</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PPP</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90"/>
              </w:rPr>
              <w:t>Consumer</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2"/>
                <w:szCs w:val="12"/>
                <w:color w:val="auto"/>
              </w:rPr>
            </w:pPr>
          </w:p>
        </w:tc>
      </w:tr>
    </w:tbl>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3"/>
          <w:szCs w:val="13"/>
          <w:i w:val="1"/>
          <w:iCs w:val="1"/>
          <w:color w:val="auto"/>
        </w:rPr>
        <w:t>(Dollars in thousands)</w:t>
      </w:r>
    </w:p>
    <w:p>
      <w:pPr>
        <w:sectPr>
          <w:pgSz w:w="11900" w:h="16838" w:orient="portrait"/>
          <w:cols w:equalWidth="0" w:num="1">
            <w:col w:w="10460"/>
          </w:cols>
          <w:pgMar w:left="820" w:top="448" w:right="619" w:bottom="1440" w:gutter="0" w:footer="0" w:header="0"/>
        </w:sectPr>
      </w:pPr>
    </w:p>
    <w:p>
      <w:pPr>
        <w:spacing w:after="0" w:line="17" w:lineRule="exact"/>
        <w:rPr>
          <w:sz w:val="20"/>
          <w:szCs w:val="20"/>
          <w:color w:val="auto"/>
        </w:rPr>
      </w:pPr>
    </w:p>
    <w:p>
      <w:pPr>
        <w:ind w:left="80" w:right="100"/>
        <w:spacing w:after="0" w:line="277" w:lineRule="auto"/>
        <w:rPr>
          <w:sz w:val="20"/>
          <w:szCs w:val="20"/>
          <w:color w:val="auto"/>
        </w:rPr>
      </w:pPr>
      <w:r>
        <w:rPr>
          <w:rFonts w:ascii="Arial" w:cs="Arial" w:eastAsia="Arial" w:hAnsi="Arial"/>
          <w:sz w:val="13"/>
          <w:szCs w:val="13"/>
          <w:b w:val="1"/>
          <w:bCs w:val="1"/>
          <w:color w:val="auto"/>
        </w:rPr>
        <w:t xml:space="preserve">Nine Months Ended September 30, 2021 </w:t>
      </w:r>
      <w:r>
        <w:rPr>
          <w:rFonts w:ascii="Arial" w:cs="Arial" w:eastAsia="Arial" w:hAnsi="Arial"/>
          <w:sz w:val="13"/>
          <w:szCs w:val="13"/>
          <w:color w:val="auto"/>
        </w:rPr>
        <w:t>Allowance for loan losses</w:t>
      </w:r>
    </w:p>
    <w:p>
      <w:pPr>
        <w:ind w:left="160" w:hanging="95"/>
        <w:spacing w:after="0"/>
        <w:tabs>
          <w:tab w:leader="none" w:pos="2260" w:val="left"/>
        </w:tabs>
        <w:rPr>
          <w:sz w:val="20"/>
          <w:szCs w:val="20"/>
          <w:color w:val="auto"/>
        </w:rPr>
      </w:pPr>
      <w:r>
        <w:rPr>
          <w:rFonts w:ascii="Arial" w:cs="Arial" w:eastAsia="Arial" w:hAnsi="Arial"/>
          <w:sz w:val="13"/>
          <w:szCs w:val="13"/>
          <w:color w:val="auto"/>
        </w:rPr>
        <w:t>Beginning balance</w:t>
      </w:r>
      <w:r>
        <w:rPr>
          <w:sz w:val="20"/>
          <w:szCs w:val="20"/>
          <w:color w:val="auto"/>
        </w:rPr>
        <w:tab/>
      </w:r>
      <w:r>
        <w:rPr>
          <w:rFonts w:ascii="Arial" w:cs="Arial" w:eastAsia="Arial" w:hAnsi="Arial"/>
          <w:sz w:val="1"/>
          <w:szCs w:val="1"/>
          <w:color w:val="auto"/>
        </w:rPr>
        <w:t>$</w:t>
      </w:r>
      <w:r>
        <w:rPr>
          <w:sz w:val="1"/>
          <w:szCs w:val="1"/>
          <w:color w:val="auto"/>
        </w:rPr>
        <w:drawing>
          <wp:inline distT="0" distB="0" distL="0" distR="0">
            <wp:extent cx="47625" cy="9461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94615"/>
                    </a:xfrm>
                    <a:prstGeom prst="rect">
                      <a:avLst/>
                    </a:prstGeom>
                    <a:noFill/>
                    <a:ln>
                      <a:noFill/>
                    </a:ln>
                  </pic:spPr>
                </pic:pic>
              </a:graphicData>
            </a:graphic>
          </wp:inline>
        </w:drawing>
      </w:r>
      <w:r>
        <w:rPr>
          <w:rFonts w:ascii="Arial" w:cs="Arial" w:eastAsia="Arial" w:hAnsi="Arial"/>
          <w:sz w:val="1"/>
          <w:szCs w:val="1"/>
          <w:color w:val="auto"/>
        </w:rPr>
        <w:t xml:space="preserve"> Provision</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Charge-offs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Recoveries</w:t>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r>
    </w:tbl>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24,693</w:t>
            </w:r>
          </w:p>
        </w:tc>
        <w:tc>
          <w:tcPr>
            <w:tcW w:w="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18,341</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22,354</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3,612</w:t>
            </w:r>
          </w:p>
        </w:tc>
        <w:tc>
          <w:tcPr>
            <w:tcW w:w="2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5,842</w:t>
            </w:r>
          </w:p>
        </w:tc>
        <w:tc>
          <w:tcPr>
            <w:tcW w:w="2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75,295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00" w:type="dxa"/>
            <w:vAlign w:val="bottom"/>
          </w:tcPr>
          <w:p>
            <w:pPr>
              <w:jc w:val="right"/>
              <w:spacing w:after="0"/>
              <w:rPr>
                <w:sz w:val="20"/>
                <w:szCs w:val="20"/>
                <w:color w:val="auto"/>
              </w:rPr>
            </w:pPr>
            <w:r>
              <w:rPr>
                <w:rFonts w:ascii="Arial" w:cs="Arial" w:eastAsia="Arial" w:hAnsi="Arial"/>
                <w:sz w:val="13"/>
                <w:szCs w:val="13"/>
                <w:color w:val="auto"/>
              </w:rPr>
              <w:t>10,881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(5,290)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(3,409)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(421)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(577)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(184)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(11,903)</w:t>
            </w:r>
          </w:p>
        </w:tc>
        <w:tc>
          <w:tcPr>
            <w:tcW w:w="60" w:type="dxa"/>
            <w:vAlign w:val="bottom"/>
            <w:tcBorders>
              <w:left w:val="single" w:sz="8" w:color="CCEEFF"/>
            </w:tcBorders>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140" w:type="dxa"/>
            <w:vAlign w:val="bottom"/>
            <w:tcBorders>
              <w:left w:val="single" w:sz="8" w:color="CCEEFF"/>
              <w:right w:val="single" w:sz="8" w:color="CCEEFF"/>
            </w:tcBorders>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tcBorders>
              <w:left w:val="single" w:sz="8" w:color="CCEEFF"/>
            </w:tcBorders>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(12,407)</w:t>
            </w:r>
          </w:p>
        </w:tc>
        <w:tc>
          <w:tcPr>
            <w:tcW w:w="60" w:type="dxa"/>
            <w:vAlign w:val="bottom"/>
            <w:tcBorders>
              <w:left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00" w:type="dxa"/>
            <w:vAlign w:val="bottom"/>
          </w:tcPr>
          <w:p>
            <w:pPr>
              <w:jc w:val="right"/>
              <w:spacing w:after="0"/>
              <w:rPr>
                <w:sz w:val="20"/>
                <w:szCs w:val="20"/>
                <w:color w:val="auto"/>
              </w:rPr>
            </w:pPr>
            <w:r>
              <w:rPr>
                <w:rFonts w:ascii="Arial" w:cs="Arial" w:eastAsia="Arial" w:hAnsi="Arial"/>
                <w:sz w:val="13"/>
                <w:szCs w:val="13"/>
                <w:color w:val="auto"/>
              </w:rPr>
              <w:t>250</w:t>
            </w:r>
          </w:p>
        </w:tc>
        <w:tc>
          <w:tcPr>
            <w:tcW w:w="60" w:type="dxa"/>
            <w:vAlign w:val="bottom"/>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264</w:t>
            </w: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2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7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23,921</w:t>
            </w:r>
          </w:p>
        </w:tc>
        <w:tc>
          <w:tcPr>
            <w:tcW w:w="28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7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12,548</w:t>
            </w: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18,945</w:t>
            </w:r>
          </w:p>
        </w:tc>
        <w:tc>
          <w:tcPr>
            <w:tcW w:w="26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8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3,191</w:t>
            </w:r>
          </w:p>
        </w:tc>
        <w:tc>
          <w:tcPr>
            <w:tcW w:w="28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7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5,270</w:t>
            </w:r>
          </w:p>
        </w:tc>
        <w:tc>
          <w:tcPr>
            <w:tcW w:w="28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7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w:t>
            </w:r>
          </w:p>
        </w:tc>
        <w:tc>
          <w:tcPr>
            <w:tcW w:w="28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70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277</w:t>
            </w:r>
          </w:p>
        </w:tc>
        <w:tc>
          <w:tcPr>
            <w:tcW w:w="280" w:type="dxa"/>
            <w:vAlign w:val="bottom"/>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3"/>
                <w:szCs w:val="13"/>
                <w:color w:val="auto"/>
              </w:rPr>
              <w:t>64,152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380" w:space="60"/>
            <w:col w:w="8020"/>
          </w:cols>
          <w:pgMar w:left="820" w:top="448"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460"/>
          </w:cols>
          <w:pgMar w:left="820" w:top="448" w:right="61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80" w:type="dxa"/>
            <w:vAlign w:val="bottom"/>
          </w:tcPr>
          <w:p>
            <w:pPr>
              <w:spacing w:after="0"/>
              <w:rPr>
                <w:sz w:val="14"/>
                <w:szCs w:val="14"/>
                <w:color w:val="auto"/>
              </w:rPr>
            </w:pPr>
          </w:p>
        </w:tc>
        <w:tc>
          <w:tcPr>
            <w:tcW w:w="4100" w:type="dxa"/>
            <w:vAlign w:val="bottom"/>
            <w:gridSpan w:val="7"/>
          </w:tcPr>
          <w:p>
            <w:pPr>
              <w:ind w:left="320"/>
              <w:spacing w:after="0"/>
              <w:rPr>
                <w:sz w:val="20"/>
                <w:szCs w:val="20"/>
                <w:color w:val="auto"/>
              </w:rPr>
            </w:pPr>
            <w:r>
              <w:rPr>
                <w:rFonts w:ascii="Arial" w:cs="Arial" w:eastAsia="Arial" w:hAnsi="Arial"/>
                <w:sz w:val="14"/>
                <w:szCs w:val="14"/>
                <w:color w:val="auto"/>
              </w:rPr>
              <w:t>Notes to Consolidated Financial Statements (unaudited)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41"/>
        </w:trPr>
        <w:tc>
          <w:tcPr>
            <w:tcW w:w="100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9"/>
              </w:rPr>
              <w:t>Construction and</w:t>
            </w:r>
          </w:p>
        </w:tc>
        <w:tc>
          <w:tcPr>
            <w:tcW w:w="80" w:type="dxa"/>
            <w:vAlign w:val="bottom"/>
          </w:tcPr>
          <w:p>
            <w:pPr>
              <w:spacing w:after="0"/>
              <w:rPr>
                <w:sz w:val="24"/>
                <w:szCs w:val="24"/>
                <w:color w:val="auto"/>
              </w:rPr>
            </w:pPr>
          </w:p>
        </w:tc>
        <w:tc>
          <w:tcPr>
            <w:tcW w:w="920" w:type="dxa"/>
            <w:vAlign w:val="bottom"/>
          </w:tcPr>
          <w:p>
            <w:pPr>
              <w:jc w:val="center"/>
              <w:ind w:right="16"/>
              <w:spacing w:after="0"/>
              <w:rPr>
                <w:sz w:val="20"/>
                <w:szCs w:val="20"/>
                <w:color w:val="auto"/>
              </w:rPr>
            </w:pPr>
            <w:r>
              <w:rPr>
                <w:rFonts w:ascii="Arial" w:cs="Arial" w:eastAsia="Arial" w:hAnsi="Arial"/>
                <w:sz w:val="13"/>
                <w:szCs w:val="13"/>
                <w:b w:val="1"/>
                <w:bCs w:val="1"/>
                <w:color w:val="auto"/>
                <w:w w:val="87"/>
              </w:rPr>
              <w:t>Residential and</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9"/>
        </w:trPr>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ind w:right="16"/>
              <w:spacing w:after="0"/>
              <w:rPr>
                <w:sz w:val="20"/>
                <w:szCs w:val="20"/>
                <w:color w:val="auto"/>
              </w:rPr>
            </w:pPr>
            <w:r>
              <w:rPr>
                <w:rFonts w:ascii="Arial" w:cs="Arial" w:eastAsia="Arial" w:hAnsi="Arial"/>
                <w:sz w:val="13"/>
                <w:szCs w:val="13"/>
                <w:b w:val="1"/>
                <w:bCs w:val="1"/>
                <w:color w:val="auto"/>
                <w:w w:val="88"/>
              </w:rPr>
              <w:t>Commercial</w:t>
            </w:r>
          </w:p>
        </w:tc>
        <w:tc>
          <w:tcPr>
            <w:tcW w:w="6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9"/>
              </w:rPr>
              <w:t>Land</w:t>
            </w:r>
          </w:p>
        </w:tc>
        <w:tc>
          <w:tcPr>
            <w:tcW w:w="80" w:type="dxa"/>
            <w:vAlign w:val="bottom"/>
          </w:tcPr>
          <w:p>
            <w:pPr>
              <w:spacing w:after="0"/>
              <w:rPr>
                <w:sz w:val="12"/>
                <w:szCs w:val="12"/>
                <w:color w:val="auto"/>
              </w:rPr>
            </w:pPr>
          </w:p>
        </w:tc>
        <w:tc>
          <w:tcPr>
            <w:tcW w:w="920" w:type="dxa"/>
            <w:vAlign w:val="bottom"/>
          </w:tcPr>
          <w:p>
            <w:pPr>
              <w:jc w:val="center"/>
              <w:ind w:right="36"/>
              <w:spacing w:after="0"/>
              <w:rPr>
                <w:sz w:val="20"/>
                <w:szCs w:val="20"/>
                <w:color w:val="auto"/>
              </w:rPr>
            </w:pPr>
            <w:r>
              <w:rPr>
                <w:rFonts w:ascii="Arial" w:cs="Arial" w:eastAsia="Arial" w:hAnsi="Arial"/>
                <w:sz w:val="13"/>
                <w:szCs w:val="13"/>
                <w:b w:val="1"/>
                <w:bCs w:val="1"/>
                <w:color w:val="auto"/>
                <w:w w:val="97"/>
              </w:rPr>
              <w:t>Multifamily</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Borders>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2"/>
                <w:szCs w:val="12"/>
                <w:color w:val="auto"/>
              </w:rPr>
            </w:pPr>
          </w:p>
        </w:tc>
        <w:tc>
          <w:tcPr>
            <w:tcW w:w="940" w:type="dxa"/>
            <w:vAlign w:val="bottom"/>
            <w:tcBorders>
              <w:bottom w:val="single" w:sz="8" w:color="auto"/>
            </w:tcBorders>
          </w:tcPr>
          <w:p>
            <w:pPr>
              <w:ind w:left="220"/>
              <w:spacing w:after="0" w:line="139" w:lineRule="exact"/>
              <w:rPr>
                <w:sz w:val="20"/>
                <w:szCs w:val="20"/>
                <w:color w:val="auto"/>
              </w:rPr>
            </w:pPr>
            <w:r>
              <w:rPr>
                <w:rFonts w:ascii="Arial" w:cs="Arial" w:eastAsia="Arial" w:hAnsi="Arial"/>
                <w:sz w:val="13"/>
                <w:szCs w:val="13"/>
                <w:b w:val="1"/>
                <w:bCs w:val="1"/>
                <w:color w:val="auto"/>
              </w:rPr>
              <w:t>Energy</w:t>
            </w:r>
          </w:p>
        </w:tc>
        <w:tc>
          <w:tcPr>
            <w:tcW w:w="60" w:type="dxa"/>
            <w:vAlign w:val="bottom"/>
          </w:tcPr>
          <w:p>
            <w:pPr>
              <w:spacing w:after="0"/>
              <w:rPr>
                <w:sz w:val="12"/>
                <w:szCs w:val="12"/>
                <w:color w:val="auto"/>
              </w:rPr>
            </w:pPr>
          </w:p>
        </w:tc>
        <w:tc>
          <w:tcPr>
            <w:tcW w:w="940" w:type="dxa"/>
            <w:vAlign w:val="bottom"/>
            <w:tcBorders>
              <w:bottom w:val="single" w:sz="8" w:color="auto"/>
            </w:tcBorders>
          </w:tcPr>
          <w:p>
            <w:pPr>
              <w:jc w:val="center"/>
              <w:ind w:right="16"/>
              <w:spacing w:after="0" w:line="139" w:lineRule="exact"/>
              <w:rPr>
                <w:sz w:val="20"/>
                <w:szCs w:val="20"/>
                <w:color w:val="auto"/>
              </w:rPr>
            </w:pPr>
            <w:r>
              <w:rPr>
                <w:rFonts w:ascii="Arial" w:cs="Arial" w:eastAsia="Arial" w:hAnsi="Arial"/>
                <w:sz w:val="13"/>
                <w:szCs w:val="13"/>
                <w:b w:val="1"/>
                <w:bCs w:val="1"/>
                <w:color w:val="auto"/>
                <w:w w:val="88"/>
              </w:rPr>
              <w:t>Real Estate</w:t>
            </w:r>
          </w:p>
        </w:tc>
        <w:tc>
          <w:tcPr>
            <w:tcW w:w="6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8"/>
              </w:rPr>
              <w:t>Development</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center"/>
              <w:ind w:right="16"/>
              <w:spacing w:after="0" w:line="139" w:lineRule="exact"/>
              <w:rPr>
                <w:sz w:val="20"/>
                <w:szCs w:val="20"/>
                <w:color w:val="auto"/>
              </w:rPr>
            </w:pPr>
            <w:r>
              <w:rPr>
                <w:rFonts w:ascii="Arial" w:cs="Arial" w:eastAsia="Arial" w:hAnsi="Arial"/>
                <w:sz w:val="13"/>
                <w:szCs w:val="13"/>
                <w:b w:val="1"/>
                <w:bCs w:val="1"/>
                <w:color w:val="auto"/>
                <w:w w:val="91"/>
              </w:rPr>
              <w:t>Real Estate</w:t>
            </w:r>
          </w:p>
        </w:tc>
        <w:tc>
          <w:tcPr>
            <w:tcW w:w="80" w:type="dxa"/>
            <w:vAlign w:val="bottom"/>
          </w:tcPr>
          <w:p>
            <w:pPr>
              <w:spacing w:after="0"/>
              <w:rPr>
                <w:sz w:val="12"/>
                <w:szCs w:val="12"/>
                <w:color w:val="auto"/>
              </w:rPr>
            </w:pPr>
          </w:p>
        </w:tc>
        <w:tc>
          <w:tcPr>
            <w:tcW w:w="920" w:type="dxa"/>
            <w:vAlign w:val="bottom"/>
            <w:tcBorders>
              <w:bottom w:val="single" w:sz="8" w:color="auto"/>
            </w:tcBorders>
          </w:tcPr>
          <w:p>
            <w:pPr>
              <w:ind w:left="300"/>
              <w:spacing w:after="0" w:line="139" w:lineRule="exact"/>
              <w:rPr>
                <w:sz w:val="20"/>
                <w:szCs w:val="20"/>
                <w:color w:val="auto"/>
              </w:rPr>
            </w:pPr>
            <w:r>
              <w:rPr>
                <w:rFonts w:ascii="Arial" w:cs="Arial" w:eastAsia="Arial" w:hAnsi="Arial"/>
                <w:sz w:val="13"/>
                <w:szCs w:val="13"/>
                <w:b w:val="1"/>
                <w:bCs w:val="1"/>
                <w:color w:val="auto"/>
              </w:rPr>
              <w:t>PPP</w:t>
            </w:r>
          </w:p>
        </w:tc>
        <w:tc>
          <w:tcPr>
            <w:tcW w:w="80" w:type="dxa"/>
            <w:vAlign w:val="bottom"/>
          </w:tcPr>
          <w:p>
            <w:pPr>
              <w:spacing w:after="0"/>
              <w:rPr>
                <w:sz w:val="12"/>
                <w:szCs w:val="12"/>
                <w:color w:val="auto"/>
              </w:rPr>
            </w:pPr>
          </w:p>
        </w:tc>
        <w:tc>
          <w:tcPr>
            <w:tcW w:w="920" w:type="dxa"/>
            <w:vAlign w:val="bottom"/>
            <w:tcBorders>
              <w:bottom w:val="single" w:sz="8" w:color="auto"/>
            </w:tcBorders>
          </w:tcPr>
          <w:p>
            <w:pPr>
              <w:ind w:left="140"/>
              <w:spacing w:after="0" w:line="139" w:lineRule="exact"/>
              <w:rPr>
                <w:sz w:val="20"/>
                <w:szCs w:val="20"/>
                <w:color w:val="auto"/>
              </w:rPr>
            </w:pPr>
            <w:r>
              <w:rPr>
                <w:rFonts w:ascii="Arial" w:cs="Arial" w:eastAsia="Arial" w:hAnsi="Arial"/>
                <w:sz w:val="13"/>
                <w:szCs w:val="13"/>
                <w:b w:val="1"/>
                <w:bCs w:val="1"/>
                <w:color w:val="auto"/>
              </w:rPr>
              <w:t>Consumer</w:t>
            </w:r>
          </w:p>
        </w:tc>
        <w:tc>
          <w:tcPr>
            <w:tcW w:w="80" w:type="dxa"/>
            <w:vAlign w:val="bottom"/>
          </w:tcPr>
          <w:p>
            <w:pPr>
              <w:spacing w:after="0"/>
              <w:rPr>
                <w:sz w:val="12"/>
                <w:szCs w:val="12"/>
                <w:color w:val="auto"/>
              </w:rPr>
            </w:pPr>
          </w:p>
        </w:tc>
        <w:tc>
          <w:tcPr>
            <w:tcW w:w="980" w:type="dxa"/>
            <w:vAlign w:val="bottom"/>
            <w:tcBorders>
              <w:bottom w:val="single" w:sz="8" w:color="auto"/>
            </w:tcBorders>
          </w:tcPr>
          <w:p>
            <w:pPr>
              <w:ind w:left="320"/>
              <w:spacing w:after="0" w:line="139" w:lineRule="exact"/>
              <w:rPr>
                <w:sz w:val="20"/>
                <w:szCs w:val="20"/>
                <w:color w:val="auto"/>
              </w:rPr>
            </w:pPr>
            <w:r>
              <w:rPr>
                <w:rFonts w:ascii="Arial" w:cs="Arial" w:eastAsia="Arial" w:hAnsi="Arial"/>
                <w:sz w:val="13"/>
                <w:szCs w:val="13"/>
                <w:b w:val="1"/>
                <w:bCs w:val="1"/>
                <w:color w:val="auto"/>
              </w:rPr>
              <w:t>Total</w:t>
            </w:r>
          </w:p>
        </w:tc>
      </w:tr>
    </w:tbl>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3"/>
          <w:szCs w:val="13"/>
          <w:i w:val="1"/>
          <w:iCs w:val="1"/>
          <w:color w:val="auto"/>
        </w:rPr>
        <w:t>(Dollars in thousands)</w:t>
      </w:r>
    </w:p>
    <w:p>
      <w:pPr>
        <w:sectPr>
          <w:pgSz w:w="11900" w:h="16838" w:orient="portrait"/>
          <w:cols w:equalWidth="0" w:num="1">
            <w:col w:w="10460"/>
          </w:cols>
          <w:pgMar w:left="820" w:top="448" w:right="619" w:bottom="1440" w:gutter="0" w:footer="0" w:header="0"/>
        </w:sectPr>
      </w:pPr>
    </w:p>
    <w:p>
      <w:pPr>
        <w:spacing w:after="0" w:line="17" w:lineRule="exact"/>
        <w:rPr>
          <w:sz w:val="20"/>
          <w:szCs w:val="20"/>
          <w:color w:val="auto"/>
        </w:rPr>
      </w:pPr>
    </w:p>
    <w:p>
      <w:pPr>
        <w:ind w:left="80" w:right="100"/>
        <w:spacing w:after="0" w:line="277" w:lineRule="auto"/>
        <w:rPr>
          <w:sz w:val="20"/>
          <w:szCs w:val="20"/>
          <w:color w:val="auto"/>
        </w:rPr>
      </w:pPr>
      <w:r>
        <w:rPr>
          <w:rFonts w:ascii="Arial" w:cs="Arial" w:eastAsia="Arial" w:hAnsi="Arial"/>
          <w:sz w:val="13"/>
          <w:szCs w:val="13"/>
          <w:b w:val="1"/>
          <w:bCs w:val="1"/>
          <w:color w:val="auto"/>
        </w:rPr>
        <w:t xml:space="preserve">Nine Months Ended September 30, 2020 </w:t>
      </w:r>
      <w:r>
        <w:rPr>
          <w:rFonts w:ascii="Arial" w:cs="Arial" w:eastAsia="Arial" w:hAnsi="Arial"/>
          <w:sz w:val="13"/>
          <w:szCs w:val="13"/>
          <w:color w:val="auto"/>
        </w:rPr>
        <w:t>Allowance for loan losses</w:t>
      </w:r>
    </w:p>
    <w:p>
      <w:pPr>
        <w:ind w:left="160" w:hanging="95"/>
        <w:spacing w:after="0"/>
        <w:tabs>
          <w:tab w:leader="none" w:pos="2260" w:val="left"/>
        </w:tabs>
        <w:rPr>
          <w:sz w:val="20"/>
          <w:szCs w:val="20"/>
          <w:color w:val="auto"/>
        </w:rPr>
      </w:pPr>
      <w:r>
        <w:rPr>
          <w:rFonts w:ascii="Arial" w:cs="Arial" w:eastAsia="Arial" w:hAnsi="Arial"/>
          <w:sz w:val="13"/>
          <w:szCs w:val="13"/>
          <w:color w:val="auto"/>
        </w:rPr>
        <w:t>Beginning balance</w:t>
      </w:r>
      <w:r>
        <w:rPr>
          <w:sz w:val="20"/>
          <w:szCs w:val="20"/>
          <w:color w:val="auto"/>
        </w:rPr>
        <w:tab/>
      </w:r>
      <w:r>
        <w:rPr>
          <w:rFonts w:ascii="Arial" w:cs="Arial" w:eastAsia="Arial" w:hAnsi="Arial"/>
          <w:sz w:val="1"/>
          <w:szCs w:val="1"/>
          <w:color w:val="auto"/>
        </w:rPr>
        <w:t>$</w:t>
      </w:r>
      <w:r>
        <w:rPr>
          <w:sz w:val="1"/>
          <w:szCs w:val="1"/>
          <w:color w:val="auto"/>
        </w:rPr>
        <w:drawing>
          <wp:inline distT="0" distB="0" distL="0" distR="0">
            <wp:extent cx="47625" cy="8826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88265"/>
                    </a:xfrm>
                    <a:prstGeom prst="rect">
                      <a:avLst/>
                    </a:prstGeom>
                    <a:noFill/>
                    <a:ln>
                      <a:noFill/>
                    </a:ln>
                  </pic:spPr>
                </pic:pic>
              </a:graphicData>
            </a:graphic>
          </wp:inline>
        </w:drawing>
      </w:r>
      <w:r>
        <w:rPr>
          <w:rFonts w:ascii="Arial" w:cs="Arial" w:eastAsia="Arial" w:hAnsi="Arial"/>
          <w:sz w:val="1"/>
          <w:szCs w:val="1"/>
          <w:color w:val="auto"/>
        </w:rPr>
        <w:t xml:space="preserve"> Provision</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Charge-offs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Recoveries</w:t>
      </w: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21"/>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40" w:type="dxa"/>
            <w:vAlign w:val="bottom"/>
          </w:tcPr>
          <w:p>
            <w:pPr>
              <w:spacing w:after="0"/>
              <w:rPr>
                <w:sz w:val="12"/>
                <w:szCs w:val="12"/>
                <w:color w:val="auto"/>
              </w:rPr>
            </w:pPr>
          </w:p>
        </w:tc>
        <w:tc>
          <w:tcPr>
            <w:tcW w:w="2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Ending balance</w:t>
            </w:r>
          </w:p>
        </w:tc>
        <w:tc>
          <w:tcPr>
            <w:tcW w:w="120" w:type="dxa"/>
            <w:vAlign w:val="bottom"/>
          </w:tcPr>
          <w:p>
            <w:pPr>
              <w:jc w:val="right"/>
              <w:spacing w:after="0" w:line="139" w:lineRule="exact"/>
              <w:rPr>
                <w:sz w:val="20"/>
                <w:szCs w:val="20"/>
                <w:color w:val="auto"/>
              </w:rPr>
            </w:pPr>
            <w:r>
              <w:rPr>
                <w:rFonts w:ascii="Arial" w:cs="Arial" w:eastAsia="Arial" w:hAnsi="Arial"/>
                <w:sz w:val="13"/>
                <w:szCs w:val="13"/>
                <w:color w:val="auto"/>
                <w:w w:val="82"/>
              </w:rPr>
              <w:t>$</w:t>
            </w:r>
          </w:p>
        </w:tc>
      </w:tr>
    </w:tbl>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35,864</w:t>
            </w:r>
          </w:p>
        </w:tc>
        <w:tc>
          <w:tcPr>
            <w:tcW w:w="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6,565</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8,085</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3,516</w:t>
            </w:r>
          </w:p>
        </w:tc>
        <w:tc>
          <w:tcPr>
            <w:tcW w:w="2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2,546</w:t>
            </w:r>
          </w:p>
        </w:tc>
        <w:tc>
          <w:tcPr>
            <w:tcW w:w="2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0" w:type="dxa"/>
            <w:vAlign w:val="bottom"/>
          </w:tcPr>
          <w:p>
            <w:pPr>
              <w:jc w:val="right"/>
              <w:spacing w:after="0"/>
              <w:rPr>
                <w:sz w:val="20"/>
                <w:szCs w:val="20"/>
                <w:color w:val="auto"/>
              </w:rPr>
            </w:pPr>
            <w:r>
              <w:rPr>
                <w:rFonts w:ascii="Arial" w:cs="Arial" w:eastAsia="Arial" w:hAnsi="Arial"/>
                <w:sz w:val="13"/>
                <w:szCs w:val="13"/>
                <w:color w:val="auto"/>
              </w:rPr>
              <w:t>16,210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15,253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9,722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973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3,393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274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45,825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(23,946)</w:t>
            </w:r>
          </w:p>
        </w:tc>
        <w:tc>
          <w:tcPr>
            <w:tcW w:w="60" w:type="dxa"/>
            <w:vAlign w:val="bottom"/>
            <w:tcBorders>
              <w:left w:val="single" w:sz="8" w:color="CCEEFF"/>
            </w:tcBorders>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(2,278)</w:t>
            </w:r>
          </w:p>
        </w:tc>
        <w:tc>
          <w:tcPr>
            <w:tcW w:w="140" w:type="dxa"/>
            <w:vAlign w:val="bottom"/>
            <w:tcBorders>
              <w:left w:val="single" w:sz="8" w:color="CCEEFF"/>
              <w:right w:val="single" w:sz="8" w:color="CCEEFF"/>
            </w:tcBorders>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(445)</w:t>
            </w:r>
          </w:p>
        </w:tc>
        <w:tc>
          <w:tcPr>
            <w:tcW w:w="60" w:type="dxa"/>
            <w:vAlign w:val="bottom"/>
            <w:tcBorders>
              <w:left w:val="single" w:sz="8" w:color="CCEEFF"/>
            </w:tcBorders>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(104)</w:t>
            </w:r>
          </w:p>
        </w:tc>
        <w:tc>
          <w:tcPr>
            <w:tcW w:w="60" w:type="dxa"/>
            <w:vAlign w:val="bottom"/>
            <w:tcBorders>
              <w:left w:val="single" w:sz="8" w:color="CCEEFF"/>
            </w:tcBorders>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(26,773)</w:t>
            </w:r>
          </w:p>
        </w:tc>
        <w:tc>
          <w:tcPr>
            <w:tcW w:w="60" w:type="dxa"/>
            <w:vAlign w:val="bottom"/>
            <w:tcBorders>
              <w:left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00" w:type="dxa"/>
            <w:vAlign w:val="bottom"/>
          </w:tcPr>
          <w:p>
            <w:pPr>
              <w:jc w:val="right"/>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87</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00" w:type="dxa"/>
            <w:vAlign w:val="bottom"/>
          </w:tcPr>
          <w:p>
            <w:pPr>
              <w:spacing w:after="0" w:line="20" w:lineRule="exact"/>
              <w:rPr>
                <w:sz w:val="1"/>
                <w:szCs w:val="1"/>
                <w:color w:val="auto"/>
              </w:rPr>
            </w:pPr>
          </w:p>
        </w:tc>
        <w:tc>
          <w:tcPr>
            <w:tcW w:w="2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28,203</w:t>
            </w:r>
          </w:p>
        </w:tc>
        <w:tc>
          <w:tcPr>
            <w:tcW w:w="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19,540</w:t>
            </w: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17,807</w:t>
            </w:r>
          </w:p>
        </w:tc>
        <w:tc>
          <w:tcPr>
            <w:tcW w:w="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4,489</w:t>
            </w:r>
          </w:p>
        </w:tc>
        <w:tc>
          <w:tcPr>
            <w:tcW w:w="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5,494</w:t>
            </w:r>
          </w:p>
        </w:tc>
        <w:tc>
          <w:tcPr>
            <w:tcW w:w="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76,035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380" w:space="60"/>
            <w:col w:w="8020"/>
          </w:cols>
          <w:pgMar w:left="820" w:top="448" w:right="619" w:bottom="1440" w:gutter="0" w:footer="0" w:header="0"/>
          <w:type w:val="continuous"/>
        </w:sectPr>
      </w:pP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89"/>
              </w:rPr>
              <w:t>Construction and</w:t>
            </w:r>
          </w:p>
        </w:tc>
        <w:tc>
          <w:tcPr>
            <w:tcW w:w="140" w:type="dxa"/>
            <w:vAlign w:val="bottom"/>
          </w:tcPr>
          <w:p>
            <w:pPr>
              <w:spacing w:after="0"/>
              <w:rPr>
                <w:sz w:val="13"/>
                <w:szCs w:val="13"/>
                <w:color w:val="auto"/>
              </w:rPr>
            </w:pPr>
          </w:p>
        </w:tc>
        <w:tc>
          <w:tcPr>
            <w:tcW w:w="860" w:type="dxa"/>
            <w:vAlign w:val="bottom"/>
          </w:tcPr>
          <w:p>
            <w:pPr>
              <w:jc w:val="center"/>
              <w:ind w:right="16"/>
              <w:spacing w:after="0"/>
              <w:rPr>
                <w:sz w:val="20"/>
                <w:szCs w:val="20"/>
                <w:color w:val="auto"/>
              </w:rPr>
            </w:pPr>
            <w:r>
              <w:rPr>
                <w:rFonts w:ascii="Arial" w:cs="Arial" w:eastAsia="Arial" w:hAnsi="Arial"/>
                <w:sz w:val="13"/>
                <w:szCs w:val="13"/>
                <w:b w:val="1"/>
                <w:bCs w:val="1"/>
                <w:color w:val="auto"/>
                <w:w w:val="81"/>
              </w:rPr>
              <w:t>Residential and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w w:val="88"/>
              </w:rPr>
              <w:t>Commercial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16"/>
              <w:spacing w:after="0"/>
              <w:rPr>
                <w:sz w:val="20"/>
                <w:szCs w:val="20"/>
                <w:color w:val="auto"/>
              </w:rPr>
            </w:pPr>
            <w:r>
              <w:rPr>
                <w:rFonts w:ascii="Arial" w:cs="Arial" w:eastAsia="Arial" w:hAnsi="Arial"/>
                <w:sz w:val="13"/>
                <w:szCs w:val="13"/>
                <w:b w:val="1"/>
                <w:bCs w:val="1"/>
                <w:color w:val="auto"/>
                <w:w w:val="89"/>
              </w:rPr>
              <w:t>Land</w:t>
            </w:r>
          </w:p>
        </w:tc>
        <w:tc>
          <w:tcPr>
            <w:tcW w:w="140" w:type="dxa"/>
            <w:vAlign w:val="bottom"/>
          </w:tcPr>
          <w:p>
            <w:pPr>
              <w:spacing w:after="0"/>
              <w:rPr>
                <w:sz w:val="12"/>
                <w:szCs w:val="12"/>
                <w:color w:val="auto"/>
              </w:rPr>
            </w:pPr>
          </w:p>
        </w:tc>
        <w:tc>
          <w:tcPr>
            <w:tcW w:w="860" w:type="dxa"/>
            <w:vAlign w:val="bottom"/>
          </w:tcPr>
          <w:p>
            <w:pPr>
              <w:jc w:val="center"/>
              <w:ind w:right="96"/>
              <w:spacing w:after="0"/>
              <w:rPr>
                <w:sz w:val="20"/>
                <w:szCs w:val="20"/>
                <w:color w:val="auto"/>
              </w:rPr>
            </w:pPr>
            <w:r>
              <w:rPr>
                <w:rFonts w:ascii="Arial" w:cs="Arial" w:eastAsia="Arial" w:hAnsi="Arial"/>
                <w:sz w:val="13"/>
                <w:szCs w:val="13"/>
                <w:b w:val="1"/>
                <w:bCs w:val="1"/>
                <w:color w:val="auto"/>
                <w:w w:val="97"/>
              </w:rPr>
              <w:t>Multifamily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88"/>
              </w:rPr>
              <w:t>Commercial</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Energy</w:t>
            </w:r>
          </w:p>
        </w:tc>
        <w:tc>
          <w:tcPr>
            <w:tcW w:w="140" w:type="dxa"/>
            <w:vAlign w:val="bottom"/>
          </w:tcPr>
          <w:p>
            <w:pPr>
              <w:spacing w:after="0"/>
              <w:rPr>
                <w:sz w:val="12"/>
                <w:szCs w:val="12"/>
                <w:color w:val="auto"/>
              </w:rPr>
            </w:pPr>
          </w:p>
        </w:tc>
        <w:tc>
          <w:tcPr>
            <w:tcW w:w="8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1"/>
              </w:rPr>
              <w:t>Real Estate</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88"/>
              </w:rPr>
              <w:t>Development</w:t>
            </w:r>
          </w:p>
        </w:tc>
        <w:tc>
          <w:tcPr>
            <w:tcW w:w="140" w:type="dxa"/>
            <w:vAlign w:val="bottom"/>
          </w:tcPr>
          <w:p>
            <w:pPr>
              <w:spacing w:after="0"/>
              <w:rPr>
                <w:sz w:val="12"/>
                <w:szCs w:val="12"/>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1"/>
              </w:rPr>
              <w:t>Real Estate</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PPP</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w w:val="90"/>
              </w:rPr>
              <w:t>Consumer</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jc w:val="right"/>
              <w:ind w:right="416"/>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September 30, 2021</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20" w:type="dxa"/>
            <w:vAlign w:val="bottom"/>
            <w:gridSpan w:val="4"/>
          </w:tcPr>
          <w:p>
            <w:pPr>
              <w:spacing w:after="0"/>
              <w:rPr>
                <w:sz w:val="20"/>
                <w:szCs w:val="20"/>
                <w:color w:val="auto"/>
              </w:rPr>
            </w:pPr>
            <w:r>
              <w:rPr>
                <w:rFonts w:ascii="Arial" w:cs="Arial" w:eastAsia="Arial" w:hAnsi="Arial"/>
                <w:sz w:val="13"/>
                <w:szCs w:val="13"/>
                <w:color w:val="auto"/>
              </w:rPr>
              <w:t>Period end allowance for loan losses allocated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w w:val="94"/>
              </w:rPr>
              <w:t>Individually evaluated for impairment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1,760</w:t>
            </w:r>
          </w:p>
        </w:tc>
        <w:tc>
          <w:tcPr>
            <w:tcW w:w="20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2,624</w:t>
            </w: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2,872</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7,256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200" w:type="dxa"/>
            <w:vAlign w:val="bottom"/>
          </w:tcPr>
          <w:p>
            <w:pPr>
              <w:jc w:val="right"/>
              <w:ind w:right="116"/>
              <w:spacing w:after="0"/>
              <w:rPr>
                <w:sz w:val="20"/>
                <w:szCs w:val="20"/>
                <w:color w:val="auto"/>
              </w:rPr>
            </w:pPr>
            <w:r>
              <w:rPr>
                <w:rFonts w:ascii="Arial" w:cs="Arial" w:eastAsia="Arial" w:hAnsi="Arial"/>
                <w:sz w:val="13"/>
                <w:szCs w:val="13"/>
                <w:color w:val="auto"/>
                <w:w w:val="94"/>
              </w:rPr>
              <w:t>Collectively evaluated for impairment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22,161</w:t>
            </w: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9,924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16,073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3,191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5,270</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277</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56,896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200" w:type="dxa"/>
            <w:vAlign w:val="bottom"/>
            <w:tcBorders>
              <w:right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Ending balance</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23,921</w:t>
            </w:r>
          </w:p>
        </w:tc>
        <w:tc>
          <w:tcPr>
            <w:tcW w:w="200" w:type="dxa"/>
            <w:vAlign w:val="bottom"/>
            <w:tcBorders>
              <w:left w:val="single" w:sz="8" w:color="CCEEFF"/>
            </w:tcBorders>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line="141" w:lineRule="exact"/>
              <w:rPr>
                <w:sz w:val="20"/>
                <w:szCs w:val="20"/>
                <w:color w:val="auto"/>
              </w:rPr>
            </w:pPr>
            <w:r>
              <w:rPr>
                <w:rFonts w:ascii="Arial" w:cs="Arial" w:eastAsia="Arial" w:hAnsi="Arial"/>
                <w:sz w:val="13"/>
                <w:szCs w:val="13"/>
                <w:color w:val="auto"/>
              </w:rPr>
              <w:t>12,548</w:t>
            </w:r>
          </w:p>
        </w:tc>
        <w:tc>
          <w:tcPr>
            <w:tcW w:w="140" w:type="dxa"/>
            <w:vAlign w:val="bottom"/>
            <w:tcBorders>
              <w:left w:val="single" w:sz="8" w:color="CCEEFF"/>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6"/>
              <w:spacing w:after="0" w:line="141" w:lineRule="exact"/>
              <w:rPr>
                <w:sz w:val="20"/>
                <w:szCs w:val="20"/>
                <w:color w:val="auto"/>
              </w:rPr>
            </w:pPr>
            <w:r>
              <w:rPr>
                <w:rFonts w:ascii="Arial" w:cs="Arial" w:eastAsia="Arial" w:hAnsi="Arial"/>
                <w:sz w:val="13"/>
                <w:szCs w:val="13"/>
                <w:color w:val="auto"/>
              </w:rPr>
              <w:t>18,945</w:t>
            </w:r>
          </w:p>
        </w:tc>
        <w:tc>
          <w:tcPr>
            <w:tcW w:w="180" w:type="dxa"/>
            <w:vAlign w:val="bottom"/>
            <w:tcBorders>
              <w:left w:val="single" w:sz="8" w:color="CCEEFF"/>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3,191</w:t>
            </w:r>
          </w:p>
        </w:tc>
        <w:tc>
          <w:tcPr>
            <w:tcW w:w="140" w:type="dxa"/>
            <w:vAlign w:val="bottom"/>
            <w:tcBorders>
              <w:left w:val="single" w:sz="8" w:color="CCEEFF"/>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5,270</w:t>
            </w:r>
          </w:p>
        </w:tc>
        <w:tc>
          <w:tcPr>
            <w:tcW w:w="180" w:type="dxa"/>
            <w:vAlign w:val="bottom"/>
            <w:tcBorders>
              <w:left w:val="single" w:sz="8" w:color="CCEEFF"/>
            </w:tcBorders>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277</w:t>
            </w:r>
          </w:p>
        </w:tc>
        <w:tc>
          <w:tcPr>
            <w:tcW w:w="180" w:type="dxa"/>
            <w:vAlign w:val="bottom"/>
            <w:tcBorders>
              <w:left w:val="single" w:sz="8" w:color="CCEEFF"/>
            </w:tcBorders>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64,152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3"/>
                <w:szCs w:val="13"/>
                <w:color w:val="auto"/>
              </w:rPr>
              <w:t>Allocated to loans:</w:t>
            </w: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w w:val="94"/>
              </w:rPr>
              <w:t>Individually evaluated for impairment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24,455</w:t>
            </w:r>
          </w:p>
        </w:tc>
        <w:tc>
          <w:tcPr>
            <w:tcW w:w="20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25,503</w:t>
            </w: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35,319</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8,942</w:t>
            </w:r>
          </w:p>
        </w:tc>
        <w:tc>
          <w:tcPr>
            <w:tcW w:w="18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236</w:t>
            </w:r>
          </w:p>
        </w:tc>
        <w:tc>
          <w:tcPr>
            <w:tcW w:w="18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94,455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tcPr>
          <w:p>
            <w:pPr>
              <w:jc w:val="right"/>
              <w:ind w:right="116"/>
              <w:spacing w:after="0"/>
              <w:rPr>
                <w:sz w:val="20"/>
                <w:szCs w:val="20"/>
                <w:color w:val="auto"/>
              </w:rPr>
            </w:pPr>
            <w:r>
              <w:rPr>
                <w:rFonts w:ascii="Arial" w:cs="Arial" w:eastAsia="Arial" w:hAnsi="Arial"/>
                <w:sz w:val="13"/>
                <w:szCs w:val="13"/>
                <w:color w:val="auto"/>
                <w:w w:val="94"/>
              </w:rPr>
              <w:t>Collectively evaluated for impairment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1,281,081</w:t>
            </w: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270,862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1,231,375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585,134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6"/>
              <w:spacing w:after="0"/>
              <w:rPr>
                <w:sz w:val="20"/>
                <w:szCs w:val="20"/>
                <w:color w:val="auto"/>
              </w:rPr>
            </w:pPr>
            <w:r>
              <w:rPr>
                <w:rFonts w:ascii="Arial" w:cs="Arial" w:eastAsia="Arial" w:hAnsi="Arial"/>
                <w:sz w:val="13"/>
                <w:szCs w:val="13"/>
                <w:color w:val="auto"/>
              </w:rPr>
              <w:t>611,935</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109,465</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61,877</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4,151,729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1,305,536</w:t>
            </w:r>
          </w:p>
        </w:tc>
        <w:tc>
          <w:tcPr>
            <w:tcW w:w="200" w:type="dxa"/>
            <w:vAlign w:val="bottom"/>
            <w:tcBorders>
              <w:left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296,365</w:t>
            </w:r>
          </w:p>
        </w:tc>
        <w:tc>
          <w:tcPr>
            <w:tcW w:w="140" w:type="dxa"/>
            <w:vAlign w:val="bottom"/>
            <w:tcBorders>
              <w:left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1,266,694</w:t>
            </w:r>
          </w:p>
        </w:tc>
        <w:tc>
          <w:tcPr>
            <w:tcW w:w="18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585,134</w:t>
            </w:r>
          </w:p>
        </w:tc>
        <w:tc>
          <w:tcPr>
            <w:tcW w:w="140" w:type="dxa"/>
            <w:vAlign w:val="bottom"/>
            <w:tcBorders>
              <w:left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620,877</w:t>
            </w:r>
          </w:p>
        </w:tc>
        <w:tc>
          <w:tcPr>
            <w:tcW w:w="180" w:type="dxa"/>
            <w:vAlign w:val="bottom"/>
            <w:tcBorders>
              <w:left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109,465</w:t>
            </w:r>
          </w:p>
        </w:tc>
        <w:tc>
          <w:tcPr>
            <w:tcW w:w="180" w:type="dxa"/>
            <w:vAlign w:val="bottom"/>
            <w:tcBorders>
              <w:left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62,113</w:t>
            </w:r>
          </w:p>
        </w:tc>
        <w:tc>
          <w:tcPr>
            <w:tcW w:w="180" w:type="dxa"/>
            <w:vAlign w:val="bottom"/>
            <w:tcBorders>
              <w:left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4,246,184</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460"/>
          </w:cols>
          <w:pgMar w:left="820" w:top="448" w:right="61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80" w:type="dxa"/>
            <w:vAlign w:val="bottom"/>
          </w:tcPr>
          <w:p>
            <w:pPr>
              <w:spacing w:after="0"/>
              <w:rPr>
                <w:sz w:val="14"/>
                <w:szCs w:val="14"/>
                <w:color w:val="auto"/>
              </w:rPr>
            </w:pPr>
          </w:p>
        </w:tc>
        <w:tc>
          <w:tcPr>
            <w:tcW w:w="4100" w:type="dxa"/>
            <w:vAlign w:val="bottom"/>
            <w:gridSpan w:val="7"/>
          </w:tcPr>
          <w:p>
            <w:pPr>
              <w:ind w:left="320"/>
              <w:spacing w:after="0"/>
              <w:rPr>
                <w:sz w:val="20"/>
                <w:szCs w:val="20"/>
                <w:color w:val="auto"/>
              </w:rPr>
            </w:pPr>
            <w:r>
              <w:rPr>
                <w:rFonts w:ascii="Arial" w:cs="Arial" w:eastAsia="Arial" w:hAnsi="Arial"/>
                <w:sz w:val="14"/>
                <w:szCs w:val="14"/>
                <w:color w:val="auto"/>
              </w:rPr>
              <w:t>Notes to Consolidated Financial Statements (unaudited)</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41"/>
        </w:trPr>
        <w:tc>
          <w:tcPr>
            <w:tcW w:w="100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9"/>
              </w:rPr>
              <w:t>Construction and</w:t>
            </w:r>
          </w:p>
        </w:tc>
        <w:tc>
          <w:tcPr>
            <w:tcW w:w="80" w:type="dxa"/>
            <w:vAlign w:val="bottom"/>
          </w:tcPr>
          <w:p>
            <w:pPr>
              <w:spacing w:after="0"/>
              <w:rPr>
                <w:sz w:val="24"/>
                <w:szCs w:val="24"/>
                <w:color w:val="auto"/>
              </w:rPr>
            </w:pPr>
          </w:p>
        </w:tc>
        <w:tc>
          <w:tcPr>
            <w:tcW w:w="920" w:type="dxa"/>
            <w:vAlign w:val="bottom"/>
          </w:tcPr>
          <w:p>
            <w:pPr>
              <w:jc w:val="center"/>
              <w:ind w:right="16"/>
              <w:spacing w:after="0"/>
              <w:rPr>
                <w:sz w:val="20"/>
                <w:szCs w:val="20"/>
                <w:color w:val="auto"/>
              </w:rPr>
            </w:pPr>
            <w:r>
              <w:rPr>
                <w:rFonts w:ascii="Arial" w:cs="Arial" w:eastAsia="Arial" w:hAnsi="Arial"/>
                <w:sz w:val="13"/>
                <w:szCs w:val="13"/>
                <w:b w:val="1"/>
                <w:bCs w:val="1"/>
                <w:color w:val="auto"/>
                <w:w w:val="87"/>
              </w:rPr>
              <w:t>Residential and</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49"/>
        </w:trPr>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ind w:right="16"/>
              <w:spacing w:after="0"/>
              <w:rPr>
                <w:sz w:val="20"/>
                <w:szCs w:val="20"/>
                <w:color w:val="auto"/>
              </w:rPr>
            </w:pPr>
            <w:r>
              <w:rPr>
                <w:rFonts w:ascii="Arial" w:cs="Arial" w:eastAsia="Arial" w:hAnsi="Arial"/>
                <w:sz w:val="13"/>
                <w:szCs w:val="13"/>
                <w:b w:val="1"/>
                <w:bCs w:val="1"/>
                <w:color w:val="auto"/>
                <w:w w:val="88"/>
              </w:rPr>
              <w:t>Commercial</w:t>
            </w:r>
          </w:p>
        </w:tc>
        <w:tc>
          <w:tcPr>
            <w:tcW w:w="6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9"/>
              </w:rPr>
              <w:t>Land</w:t>
            </w:r>
          </w:p>
        </w:tc>
        <w:tc>
          <w:tcPr>
            <w:tcW w:w="80" w:type="dxa"/>
            <w:vAlign w:val="bottom"/>
          </w:tcPr>
          <w:p>
            <w:pPr>
              <w:spacing w:after="0"/>
              <w:rPr>
                <w:sz w:val="12"/>
                <w:szCs w:val="12"/>
                <w:color w:val="auto"/>
              </w:rPr>
            </w:pPr>
          </w:p>
        </w:tc>
        <w:tc>
          <w:tcPr>
            <w:tcW w:w="920" w:type="dxa"/>
            <w:vAlign w:val="bottom"/>
          </w:tcPr>
          <w:p>
            <w:pPr>
              <w:jc w:val="center"/>
              <w:ind w:right="36"/>
              <w:spacing w:after="0"/>
              <w:rPr>
                <w:sz w:val="20"/>
                <w:szCs w:val="20"/>
                <w:color w:val="auto"/>
              </w:rPr>
            </w:pPr>
            <w:r>
              <w:rPr>
                <w:rFonts w:ascii="Arial" w:cs="Arial" w:eastAsia="Arial" w:hAnsi="Arial"/>
                <w:sz w:val="13"/>
                <w:szCs w:val="13"/>
                <w:b w:val="1"/>
                <w:bCs w:val="1"/>
                <w:color w:val="auto"/>
                <w:w w:val="97"/>
              </w:rPr>
              <w:t>Multifamily</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9"/>
        </w:trPr>
        <w:tc>
          <w:tcPr>
            <w:tcW w:w="1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tcBorders>
              <w:bottom w:val="single" w:sz="8" w:color="auto"/>
            </w:tcBorders>
          </w:tcPr>
          <w:p>
            <w:pPr>
              <w:ind w:left="80"/>
              <w:spacing w:after="0" w:line="139" w:lineRule="exact"/>
              <w:rPr>
                <w:sz w:val="20"/>
                <w:szCs w:val="20"/>
                <w:color w:val="auto"/>
              </w:rPr>
            </w:pPr>
            <w:r>
              <w:rPr>
                <w:rFonts w:ascii="Arial" w:cs="Arial" w:eastAsia="Arial" w:hAnsi="Arial"/>
                <w:sz w:val="13"/>
                <w:szCs w:val="13"/>
                <w:b w:val="1"/>
                <w:bCs w:val="1"/>
                <w:color w:val="auto"/>
              </w:rPr>
              <w:t>Commercial</w:t>
            </w:r>
          </w:p>
        </w:tc>
        <w:tc>
          <w:tcPr>
            <w:tcW w:w="80" w:type="dxa"/>
            <w:vAlign w:val="bottom"/>
          </w:tcPr>
          <w:p>
            <w:pPr>
              <w:spacing w:after="0"/>
              <w:rPr>
                <w:sz w:val="12"/>
                <w:szCs w:val="12"/>
                <w:color w:val="auto"/>
              </w:rPr>
            </w:pPr>
          </w:p>
        </w:tc>
        <w:tc>
          <w:tcPr>
            <w:tcW w:w="940" w:type="dxa"/>
            <w:vAlign w:val="bottom"/>
            <w:tcBorders>
              <w:bottom w:val="single" w:sz="8" w:color="auto"/>
            </w:tcBorders>
          </w:tcPr>
          <w:p>
            <w:pPr>
              <w:ind w:left="220"/>
              <w:spacing w:after="0" w:line="139" w:lineRule="exact"/>
              <w:rPr>
                <w:sz w:val="20"/>
                <w:szCs w:val="20"/>
                <w:color w:val="auto"/>
              </w:rPr>
            </w:pPr>
            <w:r>
              <w:rPr>
                <w:rFonts w:ascii="Arial" w:cs="Arial" w:eastAsia="Arial" w:hAnsi="Arial"/>
                <w:sz w:val="13"/>
                <w:szCs w:val="13"/>
                <w:b w:val="1"/>
                <w:bCs w:val="1"/>
                <w:color w:val="auto"/>
              </w:rPr>
              <w:t>Energy</w:t>
            </w:r>
          </w:p>
        </w:tc>
        <w:tc>
          <w:tcPr>
            <w:tcW w:w="60" w:type="dxa"/>
            <w:vAlign w:val="bottom"/>
          </w:tcPr>
          <w:p>
            <w:pPr>
              <w:spacing w:after="0"/>
              <w:rPr>
                <w:sz w:val="12"/>
                <w:szCs w:val="12"/>
                <w:color w:val="auto"/>
              </w:rPr>
            </w:pPr>
          </w:p>
        </w:tc>
        <w:tc>
          <w:tcPr>
            <w:tcW w:w="940" w:type="dxa"/>
            <w:vAlign w:val="bottom"/>
            <w:tcBorders>
              <w:bottom w:val="single" w:sz="8" w:color="auto"/>
            </w:tcBorders>
          </w:tcPr>
          <w:p>
            <w:pPr>
              <w:jc w:val="center"/>
              <w:ind w:right="16"/>
              <w:spacing w:after="0" w:line="139" w:lineRule="exact"/>
              <w:rPr>
                <w:sz w:val="20"/>
                <w:szCs w:val="20"/>
                <w:color w:val="auto"/>
              </w:rPr>
            </w:pPr>
            <w:r>
              <w:rPr>
                <w:rFonts w:ascii="Arial" w:cs="Arial" w:eastAsia="Arial" w:hAnsi="Arial"/>
                <w:sz w:val="13"/>
                <w:szCs w:val="13"/>
                <w:b w:val="1"/>
                <w:bCs w:val="1"/>
                <w:color w:val="auto"/>
                <w:w w:val="88"/>
              </w:rPr>
              <w:t>Real Estate</w:t>
            </w:r>
          </w:p>
        </w:tc>
        <w:tc>
          <w:tcPr>
            <w:tcW w:w="6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8"/>
              </w:rPr>
              <w:t>Development</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center"/>
              <w:ind w:right="16"/>
              <w:spacing w:after="0" w:line="139" w:lineRule="exact"/>
              <w:rPr>
                <w:sz w:val="20"/>
                <w:szCs w:val="20"/>
                <w:color w:val="auto"/>
              </w:rPr>
            </w:pPr>
            <w:r>
              <w:rPr>
                <w:rFonts w:ascii="Arial" w:cs="Arial" w:eastAsia="Arial" w:hAnsi="Arial"/>
                <w:sz w:val="13"/>
                <w:szCs w:val="13"/>
                <w:b w:val="1"/>
                <w:bCs w:val="1"/>
                <w:color w:val="auto"/>
                <w:w w:val="91"/>
              </w:rPr>
              <w:t>Real Estate</w:t>
            </w:r>
          </w:p>
        </w:tc>
        <w:tc>
          <w:tcPr>
            <w:tcW w:w="80" w:type="dxa"/>
            <w:vAlign w:val="bottom"/>
          </w:tcPr>
          <w:p>
            <w:pPr>
              <w:spacing w:after="0"/>
              <w:rPr>
                <w:sz w:val="12"/>
                <w:szCs w:val="12"/>
                <w:color w:val="auto"/>
              </w:rPr>
            </w:pPr>
          </w:p>
        </w:tc>
        <w:tc>
          <w:tcPr>
            <w:tcW w:w="920" w:type="dxa"/>
            <w:vAlign w:val="bottom"/>
            <w:tcBorders>
              <w:bottom w:val="single" w:sz="8" w:color="auto"/>
            </w:tcBorders>
          </w:tcPr>
          <w:p>
            <w:pPr>
              <w:ind w:left="300"/>
              <w:spacing w:after="0" w:line="139" w:lineRule="exact"/>
              <w:rPr>
                <w:sz w:val="20"/>
                <w:szCs w:val="20"/>
                <w:color w:val="auto"/>
              </w:rPr>
            </w:pPr>
            <w:r>
              <w:rPr>
                <w:rFonts w:ascii="Arial" w:cs="Arial" w:eastAsia="Arial" w:hAnsi="Arial"/>
                <w:sz w:val="13"/>
                <w:szCs w:val="13"/>
                <w:b w:val="1"/>
                <w:bCs w:val="1"/>
                <w:color w:val="auto"/>
              </w:rPr>
              <w:t>PPP</w:t>
            </w:r>
          </w:p>
        </w:tc>
        <w:tc>
          <w:tcPr>
            <w:tcW w:w="80" w:type="dxa"/>
            <w:vAlign w:val="bottom"/>
          </w:tcPr>
          <w:p>
            <w:pPr>
              <w:spacing w:after="0"/>
              <w:rPr>
                <w:sz w:val="12"/>
                <w:szCs w:val="12"/>
                <w:color w:val="auto"/>
              </w:rPr>
            </w:pPr>
          </w:p>
        </w:tc>
        <w:tc>
          <w:tcPr>
            <w:tcW w:w="920" w:type="dxa"/>
            <w:vAlign w:val="bottom"/>
            <w:tcBorders>
              <w:bottom w:val="single" w:sz="8" w:color="auto"/>
            </w:tcBorders>
          </w:tcPr>
          <w:p>
            <w:pPr>
              <w:ind w:left="140"/>
              <w:spacing w:after="0" w:line="139" w:lineRule="exact"/>
              <w:rPr>
                <w:sz w:val="20"/>
                <w:szCs w:val="20"/>
                <w:color w:val="auto"/>
              </w:rPr>
            </w:pPr>
            <w:r>
              <w:rPr>
                <w:rFonts w:ascii="Arial" w:cs="Arial" w:eastAsia="Arial" w:hAnsi="Arial"/>
                <w:sz w:val="13"/>
                <w:szCs w:val="13"/>
                <w:b w:val="1"/>
                <w:bCs w:val="1"/>
                <w:color w:val="auto"/>
              </w:rPr>
              <w:t>Consumer</w:t>
            </w:r>
          </w:p>
        </w:tc>
        <w:tc>
          <w:tcPr>
            <w:tcW w:w="80" w:type="dxa"/>
            <w:vAlign w:val="bottom"/>
          </w:tcPr>
          <w:p>
            <w:pPr>
              <w:spacing w:after="0"/>
              <w:rPr>
                <w:sz w:val="12"/>
                <w:szCs w:val="12"/>
                <w:color w:val="auto"/>
              </w:rPr>
            </w:pPr>
          </w:p>
        </w:tc>
        <w:tc>
          <w:tcPr>
            <w:tcW w:w="980" w:type="dxa"/>
            <w:vAlign w:val="bottom"/>
            <w:tcBorders>
              <w:bottom w:val="single" w:sz="8" w:color="auto"/>
            </w:tcBorders>
          </w:tcPr>
          <w:p>
            <w:pPr>
              <w:ind w:left="320"/>
              <w:spacing w:after="0" w:line="139" w:lineRule="exact"/>
              <w:rPr>
                <w:sz w:val="20"/>
                <w:szCs w:val="20"/>
                <w:color w:val="auto"/>
              </w:rPr>
            </w:pPr>
            <w:r>
              <w:rPr>
                <w:rFonts w:ascii="Arial" w:cs="Arial" w:eastAsia="Arial" w:hAnsi="Arial"/>
                <w:sz w:val="13"/>
                <w:szCs w:val="13"/>
                <w:b w:val="1"/>
                <w:bCs w:val="1"/>
                <w:color w:val="auto"/>
              </w:rPr>
              <w:t>Total</w:t>
            </w:r>
          </w:p>
        </w:tc>
      </w:tr>
    </w:tbl>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3"/>
          <w:szCs w:val="13"/>
          <w:i w:val="1"/>
          <w:iCs w:val="1"/>
          <w:color w:val="auto"/>
        </w:rPr>
        <w:t>(Dollars in thousands)</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December 31, 2020</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13"/>
          <w:szCs w:val="13"/>
          <w:color w:val="auto"/>
        </w:rPr>
        <w:t>Period end allowance for loan losses allocated to:</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w w:val="94"/>
              </w:rPr>
              <w:t>Individually evaluated for impairment</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1,115</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3,370</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5,048</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9,533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tcPr>
          <w:p>
            <w:pPr>
              <w:jc w:val="right"/>
              <w:ind w:right="116"/>
              <w:spacing w:after="0"/>
              <w:rPr>
                <w:sz w:val="20"/>
                <w:szCs w:val="20"/>
                <w:color w:val="auto"/>
              </w:rPr>
            </w:pPr>
            <w:r>
              <w:rPr>
                <w:rFonts w:ascii="Arial" w:cs="Arial" w:eastAsia="Arial" w:hAnsi="Arial"/>
                <w:sz w:val="13"/>
                <w:szCs w:val="13"/>
                <w:color w:val="auto"/>
                <w:w w:val="94"/>
              </w:rPr>
              <w:t>Collectively evaluated for impairment</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ind w:right="116"/>
              <w:spacing w:after="0"/>
              <w:rPr>
                <w:sz w:val="20"/>
                <w:szCs w:val="20"/>
                <w:color w:val="auto"/>
              </w:rPr>
            </w:pPr>
            <w:r>
              <w:rPr>
                <w:rFonts w:ascii="Arial" w:cs="Arial" w:eastAsia="Arial" w:hAnsi="Arial"/>
                <w:sz w:val="13"/>
                <w:szCs w:val="13"/>
                <w:color w:val="auto"/>
              </w:rPr>
              <w:t>23,578</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14,971</w:t>
            </w:r>
          </w:p>
        </w:tc>
        <w:tc>
          <w:tcPr>
            <w:tcW w:w="2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6"/>
              <w:spacing w:after="0"/>
              <w:rPr>
                <w:sz w:val="20"/>
                <w:szCs w:val="20"/>
                <w:color w:val="auto"/>
              </w:rPr>
            </w:pPr>
            <w:r>
              <w:rPr>
                <w:rFonts w:ascii="Arial" w:cs="Arial" w:eastAsia="Arial" w:hAnsi="Arial"/>
                <w:sz w:val="13"/>
                <w:szCs w:val="13"/>
                <w:color w:val="auto"/>
              </w:rPr>
              <w:t>17,306</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3,612</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6"/>
              <w:spacing w:after="0"/>
              <w:rPr>
                <w:sz w:val="20"/>
                <w:szCs w:val="20"/>
                <w:color w:val="auto"/>
              </w:rPr>
            </w:pPr>
            <w:r>
              <w:rPr>
                <w:rFonts w:ascii="Arial" w:cs="Arial" w:eastAsia="Arial" w:hAnsi="Arial"/>
                <w:sz w:val="13"/>
                <w:szCs w:val="13"/>
                <w:color w:val="auto"/>
              </w:rPr>
              <w:t>5,842</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16"/>
              <w:spacing w:after="0"/>
              <w:rPr>
                <w:sz w:val="20"/>
                <w:szCs w:val="20"/>
                <w:color w:val="auto"/>
              </w:rPr>
            </w:pPr>
            <w:r>
              <w:rPr>
                <w:rFonts w:ascii="Arial" w:cs="Arial" w:eastAsia="Arial" w:hAnsi="Arial"/>
                <w:sz w:val="13"/>
                <w:szCs w:val="13"/>
                <w:color w:val="auto"/>
              </w:rPr>
              <w:t>453</w:t>
            </w: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65,762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Borders>
              <w:right w:val="single" w:sz="8" w:color="CCEEFF"/>
            </w:tcBorders>
            <w:shd w:val="clear" w:color="auto" w:fill="CCEEFF"/>
          </w:tcPr>
          <w:p>
            <w:pPr>
              <w:jc w:val="right"/>
              <w:ind w:right="1376"/>
              <w:spacing w:after="0"/>
              <w:rPr>
                <w:sz w:val="20"/>
                <w:szCs w:val="20"/>
                <w:color w:val="auto"/>
              </w:rPr>
            </w:pPr>
            <w:r>
              <w:rPr>
                <w:rFonts w:ascii="Arial" w:cs="Arial" w:eastAsia="Arial" w:hAnsi="Arial"/>
                <w:sz w:val="13"/>
                <w:szCs w:val="13"/>
                <w:color w:val="auto"/>
                <w:w w:val="82"/>
              </w:rPr>
              <w:t>Ending balance</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24,693</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18,341</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22,354</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3,612</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5,842</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453</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75,295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jc w:val="right"/>
              <w:ind w:right="1196"/>
              <w:spacing w:after="0"/>
              <w:rPr>
                <w:sz w:val="20"/>
                <w:szCs w:val="20"/>
                <w:color w:val="auto"/>
              </w:rPr>
            </w:pPr>
            <w:r>
              <w:rPr>
                <w:rFonts w:ascii="Arial" w:cs="Arial" w:eastAsia="Arial" w:hAnsi="Arial"/>
                <w:sz w:val="13"/>
                <w:szCs w:val="13"/>
                <w:color w:val="auto"/>
                <w:w w:val="88"/>
              </w:rPr>
              <w:t>Allocated to loans: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w w:val="94"/>
              </w:rPr>
              <w:t>Individually evaluated for impairment</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44,678</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26,045</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44,318</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6,329</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244</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121,614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00" w:type="dxa"/>
            <w:vAlign w:val="bottom"/>
          </w:tcPr>
          <w:p>
            <w:pPr>
              <w:jc w:val="right"/>
              <w:ind w:right="116"/>
              <w:spacing w:after="0"/>
              <w:rPr>
                <w:sz w:val="20"/>
                <w:szCs w:val="20"/>
                <w:color w:val="auto"/>
              </w:rPr>
            </w:pPr>
            <w:r>
              <w:rPr>
                <w:rFonts w:ascii="Arial" w:cs="Arial" w:eastAsia="Arial" w:hAnsi="Arial"/>
                <w:sz w:val="13"/>
                <w:szCs w:val="13"/>
                <w:color w:val="auto"/>
                <w:w w:val="94"/>
              </w:rPr>
              <w:t>Collectively evaluated for impairment</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ind w:right="116"/>
              <w:spacing w:after="0"/>
              <w:rPr>
                <w:sz w:val="20"/>
                <w:szCs w:val="20"/>
                <w:color w:val="auto"/>
              </w:rPr>
            </w:pPr>
            <w:r>
              <w:rPr>
                <w:rFonts w:ascii="Arial" w:cs="Arial" w:eastAsia="Arial" w:hAnsi="Arial"/>
                <w:sz w:val="13"/>
                <w:szCs w:val="13"/>
                <w:color w:val="auto"/>
              </w:rPr>
              <w:t>1,294,079</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319,188</w:t>
            </w:r>
          </w:p>
        </w:tc>
        <w:tc>
          <w:tcPr>
            <w:tcW w:w="2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6"/>
              <w:spacing w:after="0"/>
              <w:rPr>
                <w:sz w:val="20"/>
                <w:szCs w:val="20"/>
                <w:color w:val="auto"/>
              </w:rPr>
            </w:pPr>
            <w:r>
              <w:rPr>
                <w:rFonts w:ascii="Arial" w:cs="Arial" w:eastAsia="Arial" w:hAnsi="Arial"/>
                <w:sz w:val="13"/>
                <w:szCs w:val="13"/>
                <w:color w:val="auto"/>
              </w:rPr>
              <w:t>1,135,216</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36"/>
              <w:spacing w:after="0"/>
              <w:rPr>
                <w:sz w:val="20"/>
                <w:szCs w:val="20"/>
                <w:color w:val="auto"/>
              </w:rPr>
            </w:pPr>
            <w:r>
              <w:rPr>
                <w:rFonts w:ascii="Arial" w:cs="Arial" w:eastAsia="Arial" w:hAnsi="Arial"/>
                <w:sz w:val="13"/>
                <w:szCs w:val="13"/>
                <w:color w:val="auto"/>
              </w:rPr>
              <w:t>563,144</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6"/>
              <w:spacing w:after="0"/>
              <w:rPr>
                <w:sz w:val="20"/>
                <w:szCs w:val="20"/>
                <w:color w:val="auto"/>
              </w:rPr>
            </w:pPr>
            <w:r>
              <w:rPr>
                <w:rFonts w:ascii="Arial" w:cs="Arial" w:eastAsia="Arial" w:hAnsi="Arial"/>
                <w:sz w:val="13"/>
                <w:szCs w:val="13"/>
                <w:color w:val="auto"/>
              </w:rPr>
              <w:t>674,603</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ind w:right="116"/>
              <w:spacing w:after="0"/>
              <w:rPr>
                <w:sz w:val="20"/>
                <w:szCs w:val="20"/>
                <w:color w:val="auto"/>
              </w:rPr>
            </w:pPr>
            <w:r>
              <w:rPr>
                <w:rFonts w:ascii="Arial" w:cs="Arial" w:eastAsia="Arial" w:hAnsi="Arial"/>
                <w:sz w:val="13"/>
                <w:szCs w:val="13"/>
                <w:color w:val="auto"/>
              </w:rPr>
              <w:t>292,230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16"/>
              <w:spacing w:after="0"/>
              <w:rPr>
                <w:sz w:val="20"/>
                <w:szCs w:val="20"/>
                <w:color w:val="auto"/>
              </w:rPr>
            </w:pPr>
            <w:r>
              <w:rPr>
                <w:rFonts w:ascii="Arial" w:cs="Arial" w:eastAsia="Arial" w:hAnsi="Arial"/>
                <w:sz w:val="13"/>
                <w:szCs w:val="13"/>
                <w:color w:val="auto"/>
              </w:rPr>
              <w:t>55,026</w:t>
            </w: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4,333,486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Borders>
              <w:right w:val="single" w:sz="8" w:color="CCEEFF"/>
            </w:tcBorders>
            <w:shd w:val="clear" w:color="auto" w:fill="CCEEFF"/>
          </w:tcPr>
          <w:p>
            <w:pPr>
              <w:jc w:val="right"/>
              <w:ind w:right="1376"/>
              <w:spacing w:after="0"/>
              <w:rPr>
                <w:sz w:val="20"/>
                <w:szCs w:val="20"/>
                <w:color w:val="auto"/>
              </w:rPr>
            </w:pPr>
            <w:r>
              <w:rPr>
                <w:rFonts w:ascii="Arial" w:cs="Arial" w:eastAsia="Arial" w:hAnsi="Arial"/>
                <w:sz w:val="13"/>
                <w:szCs w:val="13"/>
                <w:color w:val="auto"/>
                <w:w w:val="82"/>
              </w:rPr>
              <w:t>Ending balance</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1,338,757</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345,233</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1,179,534</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563,144</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680,932</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292,230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55,270</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4,455,100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Credit Risk Profile</w:t>
      </w:r>
    </w:p>
    <w:p>
      <w:pPr>
        <w:spacing w:after="0" w:line="161" w:lineRule="exact"/>
        <w:rPr>
          <w:sz w:val="20"/>
          <w:szCs w:val="20"/>
          <w:color w:val="auto"/>
        </w:rPr>
      </w:pPr>
    </w:p>
    <w:p>
      <w:pPr>
        <w:ind w:left="80" w:right="480" w:firstLine="384"/>
        <w:spacing w:after="0" w:line="332" w:lineRule="auto"/>
        <w:rPr>
          <w:sz w:val="20"/>
          <w:szCs w:val="20"/>
          <w:color w:val="auto"/>
        </w:rPr>
      </w:pPr>
      <w:r>
        <w:rPr>
          <w:rFonts w:ascii="Arial" w:cs="Arial" w:eastAsia="Arial" w:hAnsi="Arial"/>
          <w:sz w:val="14"/>
          <w:szCs w:val="14"/>
          <w:color w:val="auto"/>
        </w:rPr>
        <w:t>The Company analyzes its loan portfolio based on internal rating categories (grades 1 - 8), portfolio segmentation and payment activity. These categories are utilized to develop the associated ALLL. A description of the loan grades and segments follows: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4"/>
          <w:szCs w:val="14"/>
          <w:i w:val="1"/>
          <w:iCs w:val="1"/>
          <w:u w:val="single" w:color="auto"/>
          <w:color w:val="auto"/>
        </w:rPr>
        <w:t>Loan Grades</w:t>
      </w:r>
    </w:p>
    <w:p>
      <w:pPr>
        <w:spacing w:after="0" w:line="166" w:lineRule="exact"/>
        <w:rPr>
          <w:sz w:val="20"/>
          <w:szCs w:val="20"/>
          <w:color w:val="auto"/>
        </w:rPr>
      </w:pPr>
    </w:p>
    <w:p>
      <w:pPr>
        <w:ind w:left="960" w:right="80" w:hanging="493"/>
        <w:spacing w:after="0" w:line="312" w:lineRule="auto"/>
        <w:tabs>
          <w:tab w:leader="none" w:pos="96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Pass (risk rating 1-4) </w:t>
      </w:r>
      <w:r>
        <w:rPr>
          <w:rFonts w:ascii="Arial" w:cs="Arial" w:eastAsia="Arial" w:hAnsi="Arial"/>
          <w:sz w:val="14"/>
          <w:szCs w:val="14"/>
          <w:color w:val="auto"/>
        </w:rPr>
        <w:t>- The category includes loans that are considered satisfactory. The category includes borrowers that generally maintain good liquidity and</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condition or the credit is currently protected with sales trends remaining flat or declining. Most ratios compare favorably with industry norms and Company policies. Debt is programmed and timely repayment is expected.</w:t>
      </w:r>
    </w:p>
    <w:p>
      <w:pPr>
        <w:spacing w:after="0" w:line="54" w:lineRule="exact"/>
        <w:rPr>
          <w:rFonts w:ascii="Arial" w:cs="Arial" w:eastAsia="Arial" w:hAnsi="Arial"/>
          <w:sz w:val="14"/>
          <w:szCs w:val="14"/>
          <w:color w:val="auto"/>
        </w:rPr>
      </w:pPr>
    </w:p>
    <w:p>
      <w:pPr>
        <w:jc w:val="both"/>
        <w:ind w:left="960" w:right="360" w:hanging="493"/>
        <w:spacing w:after="0" w:line="346" w:lineRule="auto"/>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Special Mention (risk rating 5) </w:t>
      </w:r>
      <w:r>
        <w:rPr>
          <w:rFonts w:ascii="Arial" w:cs="Arial" w:eastAsia="Arial" w:hAnsi="Arial"/>
          <w:sz w:val="12"/>
          <w:szCs w:val="12"/>
          <w:color w:val="auto"/>
        </w:rPr>
        <w:t>- The category includes borrowers that generally exhibit adverse trends in operations or an imbalanced position in their balance</w:t>
      </w:r>
      <w:r>
        <w:rPr>
          <w:rFonts w:ascii="Arial" w:cs="Arial" w:eastAsia="Arial" w:hAnsi="Arial"/>
          <w:sz w:val="12"/>
          <w:szCs w:val="12"/>
          <w:b w:val="1"/>
          <w:bCs w:val="1"/>
          <w:color w:val="auto"/>
        </w:rPr>
        <w:t xml:space="preserve"> </w:t>
      </w:r>
      <w:r>
        <w:rPr>
          <w:rFonts w:ascii="Arial" w:cs="Arial" w:eastAsia="Arial" w:hAnsi="Arial"/>
          <w:sz w:val="12"/>
          <w:szCs w:val="12"/>
          <w:color w:val="auto"/>
        </w:rPr>
        <w:t>sheet that has not reached a point where repayment is jeopardized. Credits are currently protected but, if left uncorrected, the potential weaknesses may result in</w:t>
      </w:r>
    </w:p>
    <w:p>
      <w:pPr>
        <w:ind w:left="960" w:right="60"/>
        <w:spacing w:after="0" w:line="316" w:lineRule="auto"/>
        <w:rPr>
          <w:rFonts w:ascii="Arial" w:cs="Arial" w:eastAsia="Arial" w:hAnsi="Arial"/>
          <w:sz w:val="12"/>
          <w:szCs w:val="12"/>
          <w:color w:val="auto"/>
        </w:rPr>
      </w:pPr>
      <w:r>
        <w:rPr>
          <w:rFonts w:ascii="Arial" w:cs="Arial" w:eastAsia="Arial" w:hAnsi="Arial"/>
          <w:sz w:val="14"/>
          <w:szCs w:val="14"/>
          <w:color w:val="auto"/>
        </w:rPr>
        <w:t>deterioration of the repayment prospects for the credit or in the Company’s credit or lien position at a future date. These credits are not adversely classified and do not expose the Company to enough risk to warrant adverse classification.</w:t>
      </w:r>
    </w:p>
    <w:p>
      <w:pPr>
        <w:spacing w:after="0" w:line="62" w:lineRule="exact"/>
        <w:rPr>
          <w:rFonts w:ascii="Arial" w:cs="Arial" w:eastAsia="Arial" w:hAnsi="Arial"/>
          <w:sz w:val="12"/>
          <w:szCs w:val="12"/>
          <w:color w:val="auto"/>
        </w:rPr>
      </w:pPr>
    </w:p>
    <w:p>
      <w:pPr>
        <w:ind w:left="960" w:right="80" w:hanging="493"/>
        <w:spacing w:after="0" w:line="346" w:lineRule="auto"/>
        <w:tabs>
          <w:tab w:leader="none" w:pos="96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Substandard (risk rating 6) </w:t>
      </w:r>
      <w:r>
        <w:rPr>
          <w:rFonts w:ascii="Arial" w:cs="Arial" w:eastAsia="Arial" w:hAnsi="Arial"/>
          <w:sz w:val="12"/>
          <w:szCs w:val="12"/>
          <w:color w:val="auto"/>
        </w:rPr>
        <w:t>- The category includes borrowers that generally exhibit well-defined weakness(es) that jeopardize repayment. Credits are inadequately</w:t>
      </w:r>
      <w:r>
        <w:rPr>
          <w:rFonts w:ascii="Arial" w:cs="Arial" w:eastAsia="Arial" w:hAnsi="Arial"/>
          <w:sz w:val="12"/>
          <w:szCs w:val="12"/>
          <w:b w:val="1"/>
          <w:bCs w:val="1"/>
          <w:color w:val="auto"/>
        </w:rPr>
        <w:t xml:space="preserve"> </w:t>
      </w:r>
      <w:r>
        <w:rPr>
          <w:rFonts w:ascii="Arial" w:cs="Arial" w:eastAsia="Arial" w:hAnsi="Arial"/>
          <w:sz w:val="12"/>
          <w:szCs w:val="12"/>
          <w:color w:val="auto"/>
        </w:rPr>
        <w:t>protected by the current worth and paying capacity of the obligor or of the collateral pledged. A distinct possibility exists that the Company will sustain some loss if</w:t>
      </w:r>
    </w:p>
    <w:p>
      <w:pPr>
        <w:ind w:left="960" w:right="440"/>
        <w:spacing w:after="0" w:line="316" w:lineRule="auto"/>
        <w:rPr>
          <w:rFonts w:ascii="Arial" w:cs="Arial" w:eastAsia="Arial" w:hAnsi="Arial"/>
          <w:sz w:val="12"/>
          <w:szCs w:val="12"/>
          <w:color w:val="auto"/>
        </w:rPr>
      </w:pPr>
      <w:r>
        <w:rPr>
          <w:rFonts w:ascii="Arial" w:cs="Arial" w:eastAsia="Arial" w:hAnsi="Arial"/>
          <w:sz w:val="14"/>
          <w:szCs w:val="14"/>
          <w:color w:val="auto"/>
        </w:rPr>
        <w:t>deficiencies are not corrected. Loss potential, while existing in the aggregate amount of substandard assets, does not have to exist in individual assets classified substandard. Substandard loans include both performing and nonperforming loans and are broken out in the table below.</w:t>
      </w:r>
    </w:p>
    <w:p>
      <w:pPr>
        <w:spacing w:after="0" w:line="52" w:lineRule="exact"/>
        <w:rPr>
          <w:rFonts w:ascii="Arial" w:cs="Arial" w:eastAsia="Arial" w:hAnsi="Arial"/>
          <w:sz w:val="12"/>
          <w:szCs w:val="12"/>
          <w:color w:val="auto"/>
        </w:rPr>
      </w:pPr>
    </w:p>
    <w:p>
      <w:pPr>
        <w:ind w:left="960" w:right="160" w:hanging="493"/>
        <w:spacing w:after="0" w:line="345" w:lineRule="auto"/>
        <w:tabs>
          <w:tab w:leader="none" w:pos="96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Doubtful (risk rating 7) </w:t>
      </w:r>
      <w:r>
        <w:rPr>
          <w:rFonts w:ascii="Arial" w:cs="Arial" w:eastAsia="Arial" w:hAnsi="Arial"/>
          <w:sz w:val="13"/>
          <w:szCs w:val="13"/>
          <w:color w:val="auto"/>
        </w:rPr>
        <w:t>- The category includes borrowers that exhibit weaknesses inherent in a substandard credit and characteristics that these weaknesses make</w:t>
      </w:r>
      <w:r>
        <w:rPr>
          <w:rFonts w:ascii="Arial" w:cs="Arial" w:eastAsia="Arial" w:hAnsi="Arial"/>
          <w:sz w:val="13"/>
          <w:szCs w:val="13"/>
          <w:b w:val="1"/>
          <w:bCs w:val="1"/>
          <w:color w:val="auto"/>
        </w:rPr>
        <w:t xml:space="preserve"> </w:t>
      </w:r>
      <w:r>
        <w:rPr>
          <w:rFonts w:ascii="Arial" w:cs="Arial" w:eastAsia="Arial" w:hAnsi="Arial"/>
          <w:sz w:val="13"/>
          <w:szCs w:val="13"/>
          <w:color w:val="auto"/>
        </w:rPr>
        <w:t>collection or liquidation in full highly questionable or improbable based on existing facts, conditions and values. Because of reasonably specific pending factors, which may work to the advantage and strengthening of the assets, classification as a loss is deferred until its more exact status may be determined.</w:t>
      </w:r>
    </w:p>
    <w:p>
      <w:pPr>
        <w:spacing w:after="0" w:line="48" w:lineRule="exact"/>
        <w:rPr>
          <w:rFonts w:ascii="Arial" w:cs="Arial" w:eastAsia="Arial" w:hAnsi="Arial"/>
          <w:sz w:val="13"/>
          <w:szCs w:val="13"/>
          <w:color w:val="auto"/>
        </w:rPr>
      </w:pPr>
    </w:p>
    <w:p>
      <w:pPr>
        <w:ind w:left="980" w:hanging="513"/>
        <w:spacing w:after="0"/>
        <w:tabs>
          <w:tab w:leader="none" w:pos="98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Loss (risk rating 8) </w:t>
      </w:r>
      <w:r>
        <w:rPr>
          <w:rFonts w:ascii="Arial" w:cs="Arial" w:eastAsia="Arial" w:hAnsi="Arial"/>
          <w:sz w:val="14"/>
          <w:szCs w:val="14"/>
          <w:color w:val="auto"/>
        </w:rPr>
        <w:t>- Credits which are considered uncollectible or of such little value that their continuance as a bankable asset is not warranted.</w:t>
      </w: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460"/>
          </w:cols>
          <w:pgMar w:left="820" w:top="448" w:right="619" w:bottom="1440" w:gutter="0" w:footer="0" w:header="0"/>
        </w:sectPr>
      </w:pPr>
    </w:p>
    <w:bookmarkStart w:id="21" w:name="page22"/>
    <w:bookmarkEnd w:id="21"/>
    <w:p>
      <w:pPr>
        <w:spacing w:after="0"/>
        <w:tabs>
          <w:tab w:leader="none" w:pos="358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ind w:left="100"/>
        <w:spacing w:after="0"/>
        <w:rPr>
          <w:sz w:val="20"/>
          <w:szCs w:val="20"/>
          <w:color w:val="auto"/>
        </w:rPr>
      </w:pPr>
      <w:r>
        <w:rPr>
          <w:rFonts w:ascii="Arial" w:cs="Arial" w:eastAsia="Arial" w:hAnsi="Arial"/>
          <w:sz w:val="14"/>
          <w:szCs w:val="14"/>
          <w:i w:val="1"/>
          <w:iCs w:val="1"/>
          <w:u w:val="single" w:color="auto"/>
          <w:color w:val="auto"/>
        </w:rPr>
        <w:t>Loan Portfolio Segments</w:t>
      </w:r>
    </w:p>
    <w:p>
      <w:pPr>
        <w:spacing w:after="0" w:line="166" w:lineRule="exact"/>
        <w:rPr>
          <w:sz w:val="20"/>
          <w:szCs w:val="20"/>
          <w:color w:val="auto"/>
        </w:rPr>
      </w:pPr>
    </w:p>
    <w:p>
      <w:pPr>
        <w:ind w:left="960" w:right="180" w:hanging="493"/>
        <w:spacing w:after="0" w:line="312" w:lineRule="auto"/>
        <w:tabs>
          <w:tab w:leader="none" w:pos="9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Commercial </w:t>
      </w:r>
      <w:r>
        <w:rPr>
          <w:rFonts w:ascii="Arial" w:cs="Arial" w:eastAsia="Arial" w:hAnsi="Arial"/>
          <w:sz w:val="14"/>
          <w:szCs w:val="14"/>
          <w:color w:val="auto"/>
        </w:rPr>
        <w:t>- The category includes loans to commercial customers for use in financing working capital, equipment purchases and expansions. Repayment is</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from the cash flow of a borrower’s principal business operation. Credit risk is driven by creditworthiness of a borrower and the economic conditions that impact the cash flow stability from business operations.</w:t>
      </w:r>
    </w:p>
    <w:p>
      <w:pPr>
        <w:spacing w:after="0" w:line="65" w:lineRule="exact"/>
        <w:rPr>
          <w:rFonts w:ascii="Arial" w:cs="Arial" w:eastAsia="Arial" w:hAnsi="Arial"/>
          <w:sz w:val="14"/>
          <w:szCs w:val="14"/>
          <w:color w:val="auto"/>
        </w:rPr>
      </w:pPr>
    </w:p>
    <w:p>
      <w:pPr>
        <w:ind w:left="960" w:right="160" w:hanging="493"/>
        <w:spacing w:after="0" w:line="384" w:lineRule="auto"/>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Energy </w:t>
      </w:r>
      <w:r>
        <w:rPr>
          <w:rFonts w:ascii="Arial" w:cs="Arial" w:eastAsia="Arial" w:hAnsi="Arial"/>
          <w:sz w:val="12"/>
          <w:szCs w:val="12"/>
          <w:color w:val="auto"/>
        </w:rPr>
        <w:t>- The category includes loans to oil and natural gas customers for use in financing working capital needs, exploration and production activities, and</w:t>
      </w:r>
      <w:r>
        <w:rPr>
          <w:rFonts w:ascii="Arial" w:cs="Arial" w:eastAsia="Arial" w:hAnsi="Arial"/>
          <w:sz w:val="12"/>
          <w:szCs w:val="12"/>
          <w:b w:val="1"/>
          <w:bCs w:val="1"/>
          <w:color w:val="auto"/>
        </w:rPr>
        <w:t xml:space="preserve"> </w:t>
      </w:r>
      <w:r>
        <w:rPr>
          <w:rFonts w:ascii="Arial" w:cs="Arial" w:eastAsia="Arial" w:hAnsi="Arial"/>
          <w:sz w:val="12"/>
          <w:szCs w:val="12"/>
          <w:color w:val="auto"/>
        </w:rPr>
        <w:t>acquisitions. The loans are repaid primarily from the conversion of crude oil and natural gas to cash. Credit risk is driven by creditworthiness of a borrower and the economic conditions that impact the cash flow stability from business operations. Energy loans are typically collateralized with the underlying oil and gas reserves.</w:t>
      </w:r>
    </w:p>
    <w:p>
      <w:pPr>
        <w:spacing w:after="0" w:line="20" w:lineRule="exact"/>
        <w:rPr>
          <w:rFonts w:ascii="Arial" w:cs="Arial" w:eastAsia="Arial" w:hAnsi="Arial"/>
          <w:sz w:val="12"/>
          <w:szCs w:val="12"/>
          <w:color w:val="auto"/>
        </w:rPr>
      </w:pPr>
    </w:p>
    <w:p>
      <w:pPr>
        <w:ind w:left="960" w:hanging="493"/>
        <w:spacing w:after="0" w:line="346" w:lineRule="auto"/>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Commercial Real Estate </w:t>
      </w:r>
      <w:r>
        <w:rPr>
          <w:rFonts w:ascii="Arial" w:cs="Arial" w:eastAsia="Arial" w:hAnsi="Arial"/>
          <w:sz w:val="12"/>
          <w:szCs w:val="12"/>
          <w:color w:val="auto"/>
        </w:rPr>
        <w:t>- The category includes loans that typically involve larger principal amounts and repayment of these loans is generally dependent on the</w:t>
      </w:r>
      <w:r>
        <w:rPr>
          <w:rFonts w:ascii="Arial" w:cs="Arial" w:eastAsia="Arial" w:hAnsi="Arial"/>
          <w:sz w:val="12"/>
          <w:szCs w:val="12"/>
          <w:b w:val="1"/>
          <w:bCs w:val="1"/>
          <w:color w:val="auto"/>
        </w:rPr>
        <w:t xml:space="preserve"> </w:t>
      </w:r>
      <w:r>
        <w:rPr>
          <w:rFonts w:ascii="Arial" w:cs="Arial" w:eastAsia="Arial" w:hAnsi="Arial"/>
          <w:sz w:val="12"/>
          <w:szCs w:val="12"/>
          <w:color w:val="auto"/>
        </w:rPr>
        <w:t>successful operations of the property securing the loan or the business conducted on the property securing the loan. These are viewed primarily as cash flow loans and</w:t>
      </w:r>
    </w:p>
    <w:p>
      <w:pPr>
        <w:ind w:left="960" w:right="500"/>
        <w:spacing w:after="0" w:line="316" w:lineRule="auto"/>
        <w:rPr>
          <w:rFonts w:ascii="Arial" w:cs="Arial" w:eastAsia="Arial" w:hAnsi="Arial"/>
          <w:sz w:val="12"/>
          <w:szCs w:val="12"/>
          <w:color w:val="auto"/>
        </w:rPr>
      </w:pPr>
      <w:r>
        <w:rPr>
          <w:rFonts w:ascii="Arial" w:cs="Arial" w:eastAsia="Arial" w:hAnsi="Arial"/>
          <w:sz w:val="14"/>
          <w:szCs w:val="14"/>
          <w:color w:val="auto"/>
        </w:rPr>
        <w:t>secondarily as loans secured by real estate. Credit risk may be impacted by the creditworthiness of a borrower, property values and the local economies in the borrower’s market areas.</w:t>
      </w:r>
    </w:p>
    <w:p>
      <w:pPr>
        <w:spacing w:after="0" w:line="52" w:lineRule="exact"/>
        <w:rPr>
          <w:rFonts w:ascii="Arial" w:cs="Arial" w:eastAsia="Arial" w:hAnsi="Arial"/>
          <w:sz w:val="12"/>
          <w:szCs w:val="12"/>
          <w:color w:val="auto"/>
        </w:rPr>
      </w:pPr>
    </w:p>
    <w:p>
      <w:pPr>
        <w:ind w:left="960" w:right="40" w:hanging="493"/>
        <w:spacing w:after="0" w:line="320" w:lineRule="auto"/>
        <w:tabs>
          <w:tab w:leader="none" w:pos="960"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auto"/>
        </w:rPr>
        <w:t xml:space="preserve">Construction and Land Development </w:t>
      </w:r>
      <w:r>
        <w:rPr>
          <w:rFonts w:ascii="Arial" w:cs="Arial" w:eastAsia="Arial" w:hAnsi="Arial"/>
          <w:sz w:val="13"/>
          <w:szCs w:val="13"/>
          <w:color w:val="auto"/>
        </w:rPr>
        <w:t>- The category includes loans that are usually based upon estimates of costs and estimated value of the completed project and</w:t>
      </w:r>
      <w:r>
        <w:rPr>
          <w:rFonts w:ascii="Arial" w:cs="Arial" w:eastAsia="Arial" w:hAnsi="Arial"/>
          <w:sz w:val="13"/>
          <w:szCs w:val="13"/>
          <w:b w:val="1"/>
          <w:bCs w:val="1"/>
          <w:color w:val="auto"/>
        </w:rPr>
        <w:t xml:space="preserve"> </w:t>
      </w:r>
      <w:r>
        <w:rPr>
          <w:rFonts w:ascii="Arial" w:cs="Arial" w:eastAsia="Arial" w:hAnsi="Arial"/>
          <w:sz w:val="13"/>
          <w:szCs w:val="13"/>
          <w:color w:val="auto"/>
        </w:rPr>
        <w:t>include independent appraisal reviews and a financial analysis of the developers and property owners. Sources of repayment include permanent loans, sales of</w:t>
      </w:r>
    </w:p>
    <w:p>
      <w:pPr>
        <w:jc w:val="both"/>
        <w:ind w:left="960" w:right="120"/>
        <w:spacing w:after="0" w:line="309" w:lineRule="auto"/>
        <w:rPr>
          <w:rFonts w:ascii="Arial" w:cs="Arial" w:eastAsia="Arial" w:hAnsi="Arial"/>
          <w:sz w:val="13"/>
          <w:szCs w:val="13"/>
          <w:color w:val="auto"/>
        </w:rPr>
      </w:pPr>
      <w:r>
        <w:rPr>
          <w:rFonts w:ascii="Arial" w:cs="Arial" w:eastAsia="Arial" w:hAnsi="Arial"/>
          <w:sz w:val="14"/>
          <w:szCs w:val="14"/>
          <w:color w:val="auto"/>
        </w:rPr>
        <w:t>developed property or an interim loan commitment from the Company until permanent financing is obtained. These loans are higher risk than other real estate loans due to their ultimate repayment being sensitive to interest rate changes, general economic conditions and the availability of long-term financing. Credit risk may be impacted by the creditworthiness of a borrower, property values and the local economies in the borrower’s market areas.</w:t>
      </w:r>
    </w:p>
    <w:p>
      <w:pPr>
        <w:spacing w:after="0" w:line="56" w:lineRule="exact"/>
        <w:rPr>
          <w:rFonts w:ascii="Arial" w:cs="Arial" w:eastAsia="Arial" w:hAnsi="Arial"/>
          <w:sz w:val="13"/>
          <w:szCs w:val="13"/>
          <w:color w:val="auto"/>
        </w:rPr>
      </w:pPr>
    </w:p>
    <w:p>
      <w:pPr>
        <w:ind w:left="960" w:hanging="493"/>
        <w:spacing w:after="0" w:line="346" w:lineRule="auto"/>
        <w:tabs>
          <w:tab w:leader="none" w:pos="960"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Residential and Multifamily Real Estate </w:t>
      </w:r>
      <w:r>
        <w:rPr>
          <w:rFonts w:ascii="Arial" w:cs="Arial" w:eastAsia="Arial" w:hAnsi="Arial"/>
          <w:sz w:val="12"/>
          <w:szCs w:val="12"/>
          <w:color w:val="auto"/>
        </w:rPr>
        <w:t>- The category includes loans that are generally secured by owner-occupied 1-4 family residences or multifamily</w:t>
      </w:r>
      <w:r>
        <w:rPr>
          <w:rFonts w:ascii="Arial" w:cs="Arial" w:eastAsia="Arial" w:hAnsi="Arial"/>
          <w:sz w:val="12"/>
          <w:szCs w:val="12"/>
          <w:b w:val="1"/>
          <w:bCs w:val="1"/>
          <w:color w:val="auto"/>
        </w:rPr>
        <w:t xml:space="preserve"> </w:t>
      </w:r>
      <w:r>
        <w:rPr>
          <w:rFonts w:ascii="Arial" w:cs="Arial" w:eastAsia="Arial" w:hAnsi="Arial"/>
          <w:sz w:val="12"/>
          <w:szCs w:val="12"/>
          <w:color w:val="auto"/>
        </w:rPr>
        <w:t>properties. Repayment of these loans is primarily dependent on the personal income and credit rating of the borrowers or underlying tenants. Credit risk in these loans</w:t>
      </w:r>
    </w:p>
    <w:p>
      <w:pPr>
        <w:ind w:left="960" w:right="240"/>
        <w:spacing w:after="0" w:line="316" w:lineRule="auto"/>
        <w:rPr>
          <w:rFonts w:ascii="Arial" w:cs="Arial" w:eastAsia="Arial" w:hAnsi="Arial"/>
          <w:sz w:val="12"/>
          <w:szCs w:val="12"/>
          <w:color w:val="auto"/>
        </w:rPr>
      </w:pPr>
      <w:r>
        <w:rPr>
          <w:rFonts w:ascii="Arial" w:cs="Arial" w:eastAsia="Arial" w:hAnsi="Arial"/>
          <w:sz w:val="14"/>
          <w:szCs w:val="14"/>
          <w:color w:val="auto"/>
        </w:rPr>
        <w:t>can be impacted by economic conditions within or outside the borrower’s market areas that might impact either property values, a borrower’s personal income, or residents’ income.</w:t>
      </w:r>
    </w:p>
    <w:p>
      <w:pPr>
        <w:spacing w:after="0" w:line="62" w:lineRule="exact"/>
        <w:rPr>
          <w:rFonts w:ascii="Arial" w:cs="Arial" w:eastAsia="Arial" w:hAnsi="Arial"/>
          <w:sz w:val="12"/>
          <w:szCs w:val="12"/>
          <w:color w:val="auto"/>
        </w:rPr>
      </w:pPr>
    </w:p>
    <w:p>
      <w:pPr>
        <w:ind w:left="960" w:right="100" w:hanging="493"/>
        <w:spacing w:after="0" w:line="312" w:lineRule="auto"/>
        <w:tabs>
          <w:tab w:leader="none" w:pos="9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PPP </w:t>
      </w:r>
      <w:r>
        <w:rPr>
          <w:rFonts w:ascii="Arial" w:cs="Arial" w:eastAsia="Arial" w:hAnsi="Arial"/>
          <w:sz w:val="14"/>
          <w:szCs w:val="14"/>
          <w:color w:val="auto"/>
        </w:rPr>
        <w:t>- The category includes loans that were established by the CARES Act which authorized forgivable loans to small businesses to pay their employees during the</w:t>
      </w:r>
      <w:r>
        <w:rPr>
          <w:rFonts w:ascii="Arial" w:cs="Arial" w:eastAsia="Arial" w:hAnsi="Arial"/>
          <w:sz w:val="14"/>
          <w:szCs w:val="14"/>
          <w:b w:val="1"/>
          <w:bCs w:val="1"/>
          <w:color w:val="auto"/>
        </w:rPr>
        <w:t xml:space="preserve"> </w:t>
      </w:r>
      <w:r>
        <w:rPr>
          <w:rFonts w:ascii="Arial" w:cs="Arial" w:eastAsia="Arial" w:hAnsi="Arial"/>
          <w:sz w:val="14"/>
          <w:szCs w:val="14"/>
          <w:color w:val="auto"/>
        </w:rPr>
        <w:t>COVID-19 pandemic. The loans are 100 percent guaranteed by the SBA and repayment is primarily dependent on the borrower’s cash flow or SBA repayment approval.</w:t>
      </w:r>
    </w:p>
    <w:p>
      <w:pPr>
        <w:spacing w:after="0" w:line="54" w:lineRule="exact"/>
        <w:rPr>
          <w:rFonts w:ascii="Arial" w:cs="Arial" w:eastAsia="Arial" w:hAnsi="Arial"/>
          <w:sz w:val="14"/>
          <w:szCs w:val="14"/>
          <w:color w:val="auto"/>
        </w:rPr>
      </w:pPr>
    </w:p>
    <w:p>
      <w:pPr>
        <w:ind w:left="960" w:right="240" w:hanging="493"/>
        <w:spacing w:after="0" w:line="312" w:lineRule="auto"/>
        <w:tabs>
          <w:tab w:leader="none" w:pos="9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Consumer </w:t>
      </w:r>
      <w:r>
        <w:rPr>
          <w:rFonts w:ascii="Arial" w:cs="Arial" w:eastAsia="Arial" w:hAnsi="Arial"/>
          <w:sz w:val="14"/>
          <w:szCs w:val="14"/>
          <w:color w:val="auto"/>
        </w:rPr>
        <w:t>- The category includes revolving lines of credit and various term loans such as automobile loans and loans for other personal purposes. Repayment is</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dependent on the personal income and credit rating of the borrowers. Credit risk is driven by consumer economic factors (such as unemployment and general economic conditions in the borrower’s market area) and the creditworthiness of a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420"/>
          </w:cols>
          <w:pgMar w:left="820" w:top="459" w:right="659" w:bottom="1440" w:gutter="0" w:footer="0" w:header="0"/>
        </w:sectPr>
      </w:pPr>
    </w:p>
    <w:bookmarkStart w:id="22" w:name="page23"/>
    <w:bookmarkEnd w:id="22"/>
    <w:p>
      <w:pPr>
        <w:spacing w:after="0"/>
        <w:tabs>
          <w:tab w:leader="none" w:pos="358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ind w:left="80" w:right="300" w:firstLine="395"/>
        <w:spacing w:after="0" w:line="316" w:lineRule="auto"/>
        <w:rPr>
          <w:sz w:val="20"/>
          <w:szCs w:val="20"/>
          <w:color w:val="auto"/>
        </w:rPr>
      </w:pPr>
      <w:r>
        <w:rPr>
          <w:rFonts w:ascii="Arial" w:cs="Arial" w:eastAsia="Arial" w:hAnsi="Arial"/>
          <w:sz w:val="14"/>
          <w:szCs w:val="14"/>
          <w:color w:val="auto"/>
        </w:rPr>
        <w:t>The following tables present the credit risk profile of the Company’s loan portfolio based on internal rating categories (grades 1 - 8), portfolio segmentation, and payment activity:</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1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b w:val="1"/>
                <w:bCs w:val="1"/>
                <w:color w:val="auto"/>
              </w:rPr>
              <w:t>Special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w w:val="91"/>
              </w:rPr>
              <w:t>Substandard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Arial" w:cs="Arial" w:eastAsia="Arial" w:hAnsi="Arial"/>
                <w:sz w:val="14"/>
                <w:szCs w:val="14"/>
                <w:b w:val="1"/>
                <w:bCs w:val="1"/>
                <w:color w:val="auto"/>
              </w:rPr>
              <w:t>Substandard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605"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07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91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Pass</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Mention</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9"/>
              </w:rPr>
              <w:t>Performing</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2"/>
              </w:rPr>
              <w:t>Nonperforming</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Doubtful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5" w:type="dxa"/>
            <w:vAlign w:val="bottom"/>
            <w:tcBorders>
              <w:bottom w:val="single" w:sz="8" w:color="auto"/>
            </w:tcBorders>
          </w:tcPr>
          <w:p>
            <w:pPr>
              <w:spacing w:after="0"/>
              <w:rPr>
                <w:sz w:val="15"/>
                <w:szCs w:val="15"/>
                <w:color w:val="auto"/>
              </w:rPr>
            </w:pPr>
          </w:p>
        </w:tc>
        <w:tc>
          <w:tcPr>
            <w:tcW w:w="605" w:type="dxa"/>
            <w:vAlign w:val="bottom"/>
            <w:tcBorders>
              <w:bottom w:val="single" w:sz="8" w:color="auto"/>
            </w:tcBorders>
          </w:tcPr>
          <w:p>
            <w:pPr>
              <w:ind w:left="205"/>
              <w:spacing w:after="0"/>
              <w:rPr>
                <w:sz w:val="20"/>
                <w:szCs w:val="20"/>
                <w:color w:val="auto"/>
              </w:rPr>
            </w:pPr>
            <w:r>
              <w:rPr>
                <w:rFonts w:ascii="Arial" w:cs="Arial" w:eastAsia="Arial" w:hAnsi="Arial"/>
                <w:sz w:val="14"/>
                <w:szCs w:val="14"/>
                <w:b w:val="1"/>
                <w:bCs w:val="1"/>
                <w:color w:val="auto"/>
              </w:rPr>
              <w:t>Loss</w:t>
            </w: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107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1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6"/>
          </w:tcPr>
          <w:p>
            <w:pPr>
              <w:ind w:left="40"/>
              <w:spacing w:after="0"/>
              <w:rPr>
                <w:sz w:val="20"/>
                <w:szCs w:val="20"/>
                <w:color w:val="auto"/>
              </w:rPr>
            </w:pPr>
            <w:r>
              <w:rPr>
                <w:rFonts w:ascii="Arial" w:cs="Arial" w:eastAsia="Arial" w:hAnsi="Arial"/>
                <w:sz w:val="14"/>
                <w:szCs w:val="14"/>
                <w:i w:val="1"/>
                <w:iCs w:val="1"/>
                <w:color w:val="auto"/>
                <w:w w:val="99"/>
              </w:rPr>
              <w:t>(Dollars in thousands)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5" w:type="dxa"/>
            <w:vAlign w:val="bottom"/>
          </w:tcPr>
          <w:p>
            <w:pPr>
              <w:spacing w:after="0"/>
              <w:rPr>
                <w:sz w:val="17"/>
                <w:szCs w:val="17"/>
                <w:color w:val="auto"/>
              </w:rPr>
            </w:pPr>
          </w:p>
        </w:tc>
        <w:tc>
          <w:tcPr>
            <w:tcW w:w="605"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7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2021</w:t>
            </w:r>
          </w:p>
        </w:tc>
        <w:tc>
          <w:tcPr>
            <w:tcW w:w="110" w:type="dxa"/>
            <w:vAlign w:val="bottom"/>
            <w:shd w:val="clear" w:color="auto" w:fill="CCEEFF"/>
          </w:tcPr>
          <w:p>
            <w:pPr>
              <w:spacing w:after="0"/>
              <w:rPr>
                <w:sz w:val="16"/>
                <w:szCs w:val="16"/>
                <w:color w:val="auto"/>
              </w:rPr>
            </w:pPr>
          </w:p>
        </w:tc>
        <w:tc>
          <w:tcPr>
            <w:tcW w:w="91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5" w:type="dxa"/>
            <w:vAlign w:val="bottom"/>
            <w:shd w:val="clear" w:color="auto" w:fill="CCEEFF"/>
          </w:tcPr>
          <w:p>
            <w:pPr>
              <w:spacing w:after="0"/>
              <w:rPr>
                <w:sz w:val="16"/>
                <w:szCs w:val="16"/>
                <w:color w:val="auto"/>
              </w:rPr>
            </w:pPr>
          </w:p>
        </w:tc>
        <w:tc>
          <w:tcPr>
            <w:tcW w:w="605"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107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1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10" w:type="dxa"/>
            <w:vAlign w:val="bottom"/>
          </w:tcPr>
          <w:p>
            <w:pPr>
              <w:jc w:val="right"/>
              <w:ind w:right="29"/>
              <w:spacing w:after="0"/>
              <w:rPr>
                <w:sz w:val="20"/>
                <w:szCs w:val="20"/>
                <w:color w:val="auto"/>
              </w:rPr>
            </w:pPr>
            <w:r>
              <w:rPr>
                <w:rFonts w:ascii="Arial" w:cs="Arial" w:eastAsia="Arial" w:hAnsi="Arial"/>
                <w:sz w:val="14"/>
                <w:szCs w:val="14"/>
                <w:color w:val="auto"/>
              </w:rPr>
              <w:t>1,230,682</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47,492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20,907</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6,455</w:t>
            </w:r>
          </w:p>
        </w:tc>
        <w:tc>
          <w:tcPr>
            <w:tcW w:w="2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5" w:type="dxa"/>
            <w:vAlign w:val="bottom"/>
            <w:gridSpan w:val="3"/>
          </w:tcPr>
          <w:p>
            <w:pPr>
              <w:jc w:val="right"/>
              <w:ind w:right="55"/>
              <w:spacing w:after="0"/>
              <w:rPr>
                <w:sz w:val="20"/>
                <w:szCs w:val="20"/>
                <w:color w:val="auto"/>
              </w:rPr>
            </w:pPr>
            <w:r>
              <w:rPr>
                <w:rFonts w:ascii="Arial" w:cs="Arial" w:eastAsia="Arial" w:hAnsi="Arial"/>
                <w:sz w:val="14"/>
                <w:szCs w:val="14"/>
                <w:color w:val="auto"/>
              </w:rPr>
              <w:t>$</w:t>
            </w:r>
          </w:p>
        </w:tc>
        <w:tc>
          <w:tcPr>
            <w:tcW w:w="605" w:type="dxa"/>
            <w:vAlign w:val="bottom"/>
          </w:tcPr>
          <w:p>
            <w:pPr>
              <w:spacing w:after="0"/>
              <w:rPr>
                <w:sz w:val="15"/>
                <w:szCs w:val="15"/>
                <w:color w:val="auto"/>
              </w:rPr>
            </w:pP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7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1,305,536</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133,551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116,495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20,887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22,348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3,084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5" w:type="dxa"/>
            <w:vAlign w:val="bottom"/>
            <w:shd w:val="clear" w:color="auto" w:fill="CCEEFF"/>
          </w:tcPr>
          <w:p>
            <w:pPr>
              <w:spacing w:after="0"/>
              <w:rPr>
                <w:sz w:val="15"/>
                <w:szCs w:val="15"/>
                <w:color w:val="auto"/>
              </w:rPr>
            </w:pPr>
          </w:p>
        </w:tc>
        <w:tc>
          <w:tcPr>
            <w:tcW w:w="605"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296,365</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Commercial real estate</w:t>
            </w:r>
          </w:p>
        </w:tc>
        <w:tc>
          <w:tcPr>
            <w:tcW w:w="110" w:type="dxa"/>
            <w:vAlign w:val="bottom"/>
          </w:tcPr>
          <w:p>
            <w:pPr>
              <w:spacing w:after="0"/>
              <w:rPr>
                <w:sz w:val="15"/>
                <w:szCs w:val="15"/>
                <w:color w:val="auto"/>
              </w:rPr>
            </w:pPr>
          </w:p>
        </w:tc>
        <w:tc>
          <w:tcPr>
            <w:tcW w:w="910" w:type="dxa"/>
            <w:vAlign w:val="bottom"/>
          </w:tcPr>
          <w:p>
            <w:pPr>
              <w:jc w:val="right"/>
              <w:ind w:right="49"/>
              <w:spacing w:after="0"/>
              <w:rPr>
                <w:sz w:val="20"/>
                <w:szCs w:val="20"/>
                <w:color w:val="auto"/>
              </w:rPr>
            </w:pPr>
            <w:r>
              <w:rPr>
                <w:rFonts w:ascii="Arial" w:cs="Arial" w:eastAsia="Arial" w:hAnsi="Arial"/>
                <w:sz w:val="14"/>
                <w:szCs w:val="14"/>
                <w:color w:val="auto"/>
              </w:rPr>
              <w:t>1,119,569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109,639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27,221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10,265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5" w:type="dxa"/>
            <w:vAlign w:val="bottom"/>
          </w:tcPr>
          <w:p>
            <w:pPr>
              <w:spacing w:after="0"/>
              <w:rPr>
                <w:sz w:val="15"/>
                <w:szCs w:val="15"/>
                <w:color w:val="auto"/>
              </w:rPr>
            </w:pPr>
          </w:p>
        </w:tc>
        <w:tc>
          <w:tcPr>
            <w:tcW w:w="605" w:type="dxa"/>
            <w:vAlign w:val="bottom"/>
          </w:tcPr>
          <w:p>
            <w:pPr>
              <w:spacing w:after="0"/>
              <w:rPr>
                <w:sz w:val="15"/>
                <w:szCs w:val="15"/>
                <w:color w:val="auto"/>
              </w:rPr>
            </w:pP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1,266,694</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and land development</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585,134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5" w:type="dxa"/>
            <w:vAlign w:val="bottom"/>
            <w:shd w:val="clear" w:color="auto" w:fill="CCEEFF"/>
          </w:tcPr>
          <w:p>
            <w:pPr>
              <w:spacing w:after="0"/>
              <w:rPr>
                <w:sz w:val="15"/>
                <w:szCs w:val="15"/>
                <w:color w:val="auto"/>
              </w:rPr>
            </w:pPr>
          </w:p>
        </w:tc>
        <w:tc>
          <w:tcPr>
            <w:tcW w:w="605"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585,134</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Residential and multifamily real estate</w:t>
            </w:r>
          </w:p>
        </w:tc>
        <w:tc>
          <w:tcPr>
            <w:tcW w:w="110" w:type="dxa"/>
            <w:vAlign w:val="bottom"/>
          </w:tcPr>
          <w:p>
            <w:pPr>
              <w:spacing w:after="0"/>
              <w:rPr>
                <w:sz w:val="15"/>
                <w:szCs w:val="15"/>
                <w:color w:val="auto"/>
              </w:rPr>
            </w:pPr>
          </w:p>
        </w:tc>
        <w:tc>
          <w:tcPr>
            <w:tcW w:w="910" w:type="dxa"/>
            <w:vAlign w:val="bottom"/>
          </w:tcPr>
          <w:p>
            <w:pPr>
              <w:jc w:val="right"/>
              <w:ind w:right="29"/>
              <w:spacing w:after="0"/>
              <w:rPr>
                <w:sz w:val="20"/>
                <w:szCs w:val="20"/>
                <w:color w:val="auto"/>
              </w:rPr>
            </w:pPr>
            <w:r>
              <w:rPr>
                <w:rFonts w:ascii="Arial" w:cs="Arial" w:eastAsia="Arial" w:hAnsi="Arial"/>
                <w:sz w:val="14"/>
                <w:szCs w:val="14"/>
                <w:color w:val="auto"/>
              </w:rPr>
              <w:t>607,588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546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6,984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5,759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5" w:type="dxa"/>
            <w:vAlign w:val="bottom"/>
          </w:tcPr>
          <w:p>
            <w:pPr>
              <w:spacing w:after="0"/>
              <w:rPr>
                <w:sz w:val="15"/>
                <w:szCs w:val="15"/>
                <w:color w:val="auto"/>
              </w:rPr>
            </w:pPr>
          </w:p>
        </w:tc>
        <w:tc>
          <w:tcPr>
            <w:tcW w:w="605" w:type="dxa"/>
            <w:vAlign w:val="bottom"/>
          </w:tcPr>
          <w:p>
            <w:pPr>
              <w:spacing w:after="0"/>
              <w:rPr>
                <w:sz w:val="15"/>
                <w:szCs w:val="15"/>
                <w:color w:val="auto"/>
              </w:rPr>
            </w:pP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620,877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PPP</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109,465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5" w:type="dxa"/>
            <w:vAlign w:val="bottom"/>
            <w:shd w:val="clear" w:color="auto" w:fill="CCEEFF"/>
          </w:tcPr>
          <w:p>
            <w:pPr>
              <w:spacing w:after="0"/>
              <w:rPr>
                <w:sz w:val="15"/>
                <w:szCs w:val="15"/>
                <w:color w:val="auto"/>
              </w:rPr>
            </w:pPr>
          </w:p>
        </w:tc>
        <w:tc>
          <w:tcPr>
            <w:tcW w:w="605"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109,465</w:t>
            </w:r>
          </w:p>
        </w:tc>
        <w:tc>
          <w:tcPr>
            <w:tcW w:w="20" w:type="dxa"/>
            <w:vAlign w:val="bottom"/>
            <w:shd w:val="clear" w:color="auto" w:fill="CCEEFF"/>
          </w:tcPr>
          <w:p>
            <w:pPr>
              <w:spacing w:after="0"/>
              <w:rPr>
                <w:sz w:val="15"/>
                <w:szCs w:val="15"/>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Consumer</w:t>
            </w:r>
          </w:p>
        </w:tc>
        <w:tc>
          <w:tcPr>
            <w:tcW w:w="110" w:type="dxa"/>
            <w:vAlign w:val="bottom"/>
            <w:tcBorders>
              <w:bottom w:val="single" w:sz="8" w:color="auto"/>
            </w:tcBorders>
          </w:tcPr>
          <w:p>
            <w:pPr>
              <w:spacing w:after="0"/>
              <w:rPr>
                <w:sz w:val="14"/>
                <w:szCs w:val="14"/>
                <w:color w:val="auto"/>
              </w:rPr>
            </w:pPr>
          </w:p>
        </w:tc>
        <w:tc>
          <w:tcPr>
            <w:tcW w:w="91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61,826</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51</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5" w:type="dxa"/>
            <w:vAlign w:val="bottom"/>
            <w:tcBorders>
              <w:bottom w:val="single" w:sz="8" w:color="auto"/>
            </w:tcBorders>
          </w:tcPr>
          <w:p>
            <w:pPr>
              <w:spacing w:after="0"/>
              <w:rPr>
                <w:sz w:val="14"/>
                <w:szCs w:val="14"/>
                <w:color w:val="auto"/>
              </w:rPr>
            </w:pPr>
          </w:p>
        </w:tc>
        <w:tc>
          <w:tcPr>
            <w:tcW w:w="605"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10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62,113</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5" w:type="dxa"/>
            <w:vAlign w:val="bottom"/>
          </w:tcPr>
          <w:p>
            <w:pPr>
              <w:spacing w:after="0" w:line="20" w:lineRule="exact"/>
              <w:rPr>
                <w:sz w:val="1"/>
                <w:szCs w:val="1"/>
                <w:color w:val="auto"/>
              </w:rPr>
            </w:pPr>
          </w:p>
        </w:tc>
        <w:tc>
          <w:tcPr>
            <w:tcW w:w="605"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0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3,847,815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274,223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75,999</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45,063</w:t>
            </w: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3,084</w:t>
            </w:r>
          </w:p>
        </w:tc>
        <w:tc>
          <w:tcPr>
            <w:tcW w:w="195" w:type="dxa"/>
            <w:vAlign w:val="bottom"/>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605"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7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4,246,184</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5" w:type="dxa"/>
            <w:vAlign w:val="bottom"/>
            <w:tcBorders>
              <w:bottom w:val="single" w:sz="8" w:color="auto"/>
            </w:tcBorders>
          </w:tcPr>
          <w:p>
            <w:pPr>
              <w:spacing w:after="0" w:line="20" w:lineRule="exact"/>
              <w:rPr>
                <w:sz w:val="1"/>
                <w:szCs w:val="1"/>
                <w:color w:val="auto"/>
              </w:rPr>
            </w:pPr>
          </w:p>
        </w:tc>
        <w:tc>
          <w:tcPr>
            <w:tcW w:w="605"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1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b w:val="1"/>
                <w:bCs w:val="1"/>
                <w:color w:val="auto"/>
              </w:rPr>
              <w:t>Special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w w:val="91"/>
              </w:rPr>
              <w:t>Substandard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Arial" w:cs="Arial" w:eastAsia="Arial" w:hAnsi="Arial"/>
                <w:sz w:val="14"/>
                <w:szCs w:val="14"/>
                <w:b w:val="1"/>
                <w:bCs w:val="1"/>
                <w:color w:val="auto"/>
              </w:rPr>
              <w:t>Substandard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605"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07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91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Pass</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Mention</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9"/>
              </w:rPr>
              <w:t>Performing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2"/>
              </w:rPr>
              <w:t>Nonperforming</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Doubtful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5" w:type="dxa"/>
            <w:vAlign w:val="bottom"/>
            <w:tcBorders>
              <w:bottom w:val="single" w:sz="8" w:color="auto"/>
            </w:tcBorders>
          </w:tcPr>
          <w:p>
            <w:pPr>
              <w:spacing w:after="0"/>
              <w:rPr>
                <w:sz w:val="15"/>
                <w:szCs w:val="15"/>
                <w:color w:val="auto"/>
              </w:rPr>
            </w:pPr>
          </w:p>
        </w:tc>
        <w:tc>
          <w:tcPr>
            <w:tcW w:w="605" w:type="dxa"/>
            <w:vAlign w:val="bottom"/>
            <w:tcBorders>
              <w:bottom w:val="single" w:sz="8" w:color="auto"/>
            </w:tcBorders>
          </w:tcPr>
          <w:p>
            <w:pPr>
              <w:ind w:left="205"/>
              <w:spacing w:after="0"/>
              <w:rPr>
                <w:sz w:val="20"/>
                <w:szCs w:val="20"/>
                <w:color w:val="auto"/>
              </w:rPr>
            </w:pPr>
            <w:r>
              <w:rPr>
                <w:rFonts w:ascii="Arial" w:cs="Arial" w:eastAsia="Arial" w:hAnsi="Arial"/>
                <w:sz w:val="14"/>
                <w:szCs w:val="14"/>
                <w:b w:val="1"/>
                <w:bCs w:val="1"/>
                <w:color w:val="auto"/>
              </w:rPr>
              <w:t>Loss</w:t>
            </w: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107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1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i w:val="1"/>
                <w:iCs w:val="1"/>
                <w:color w:val="auto"/>
                <w:w w:val="85"/>
              </w:rPr>
              <w:t>(Dollars in thousands)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605"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07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5" w:type="dxa"/>
            <w:vAlign w:val="bottom"/>
            <w:shd w:val="clear" w:color="auto" w:fill="CCEEFF"/>
          </w:tcPr>
          <w:p>
            <w:pPr>
              <w:spacing w:after="0"/>
              <w:rPr>
                <w:sz w:val="15"/>
                <w:szCs w:val="15"/>
                <w:color w:val="auto"/>
              </w:rPr>
            </w:pPr>
          </w:p>
        </w:tc>
        <w:tc>
          <w:tcPr>
            <w:tcW w:w="605"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1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10" w:type="dxa"/>
            <w:vAlign w:val="bottom"/>
          </w:tcPr>
          <w:p>
            <w:pPr>
              <w:jc w:val="right"/>
              <w:ind w:right="29"/>
              <w:spacing w:after="0"/>
              <w:rPr>
                <w:sz w:val="20"/>
                <w:szCs w:val="20"/>
                <w:color w:val="auto"/>
              </w:rPr>
            </w:pPr>
            <w:r>
              <w:rPr>
                <w:rFonts w:ascii="Arial" w:cs="Arial" w:eastAsia="Arial" w:hAnsi="Arial"/>
                <w:sz w:val="14"/>
                <w:szCs w:val="14"/>
                <w:color w:val="auto"/>
              </w:rPr>
              <w:t>1,182,519</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66,142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63,407</w:t>
            </w:r>
          </w:p>
        </w:tc>
        <w:tc>
          <w:tcPr>
            <w:tcW w:w="120" w:type="dxa"/>
            <w:vAlign w:val="bottom"/>
            <w:gridSpan w:val="3"/>
          </w:tcPr>
          <w:p>
            <w:pPr>
              <w:ind w:left="4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26,124</w:t>
            </w:r>
          </w:p>
        </w:tc>
        <w:tc>
          <w:tcPr>
            <w:tcW w:w="1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565</w:t>
            </w:r>
          </w:p>
        </w:tc>
        <w:tc>
          <w:tcPr>
            <w:tcW w:w="195" w:type="dxa"/>
            <w:vAlign w:val="bottom"/>
            <w:gridSpan w:val="3"/>
          </w:tcPr>
          <w:p>
            <w:pPr>
              <w:jc w:val="right"/>
              <w:ind w:right="55"/>
              <w:spacing w:after="0"/>
              <w:rPr>
                <w:sz w:val="20"/>
                <w:szCs w:val="20"/>
                <w:color w:val="auto"/>
              </w:rPr>
            </w:pPr>
            <w:r>
              <w:rPr>
                <w:rFonts w:ascii="Arial" w:cs="Arial" w:eastAsia="Arial" w:hAnsi="Arial"/>
                <w:sz w:val="14"/>
                <w:szCs w:val="14"/>
                <w:color w:val="auto"/>
              </w:rPr>
              <w:t>$</w:t>
            </w:r>
          </w:p>
        </w:tc>
        <w:tc>
          <w:tcPr>
            <w:tcW w:w="605" w:type="dxa"/>
            <w:vAlign w:val="bottom"/>
          </w:tcPr>
          <w:p>
            <w:pPr>
              <w:spacing w:after="0"/>
              <w:rPr>
                <w:sz w:val="15"/>
                <w:szCs w:val="15"/>
                <w:color w:val="auto"/>
              </w:rPr>
            </w:pP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7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1,338,757</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145,598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90,134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83,574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22,177</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3,750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5" w:type="dxa"/>
            <w:vAlign w:val="bottom"/>
            <w:shd w:val="clear" w:color="auto" w:fill="CCEEFF"/>
          </w:tcPr>
          <w:p>
            <w:pPr>
              <w:spacing w:after="0"/>
              <w:rPr>
                <w:sz w:val="15"/>
                <w:szCs w:val="15"/>
                <w:color w:val="auto"/>
              </w:rPr>
            </w:pPr>
          </w:p>
        </w:tc>
        <w:tc>
          <w:tcPr>
            <w:tcW w:w="605"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345,233</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Commercial real estate</w:t>
            </w:r>
          </w:p>
        </w:tc>
        <w:tc>
          <w:tcPr>
            <w:tcW w:w="110" w:type="dxa"/>
            <w:vAlign w:val="bottom"/>
          </w:tcPr>
          <w:p>
            <w:pPr>
              <w:spacing w:after="0"/>
              <w:rPr>
                <w:sz w:val="15"/>
                <w:szCs w:val="15"/>
                <w:color w:val="auto"/>
              </w:rPr>
            </w:pPr>
          </w:p>
        </w:tc>
        <w:tc>
          <w:tcPr>
            <w:tcW w:w="910" w:type="dxa"/>
            <w:vAlign w:val="bottom"/>
          </w:tcPr>
          <w:p>
            <w:pPr>
              <w:jc w:val="right"/>
              <w:ind w:right="29"/>
              <w:spacing w:after="0"/>
              <w:rPr>
                <w:sz w:val="20"/>
                <w:szCs w:val="20"/>
                <w:color w:val="auto"/>
              </w:rPr>
            </w:pPr>
            <w:r>
              <w:rPr>
                <w:rFonts w:ascii="Arial" w:cs="Arial" w:eastAsia="Arial" w:hAnsi="Arial"/>
                <w:sz w:val="14"/>
                <w:szCs w:val="14"/>
                <w:color w:val="auto"/>
              </w:rPr>
              <w:t>1,035,056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67,710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57,680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19,088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5" w:type="dxa"/>
            <w:vAlign w:val="bottom"/>
          </w:tcPr>
          <w:p>
            <w:pPr>
              <w:spacing w:after="0"/>
              <w:rPr>
                <w:sz w:val="15"/>
                <w:szCs w:val="15"/>
                <w:color w:val="auto"/>
              </w:rPr>
            </w:pPr>
          </w:p>
        </w:tc>
        <w:tc>
          <w:tcPr>
            <w:tcW w:w="605" w:type="dxa"/>
            <w:vAlign w:val="bottom"/>
          </w:tcPr>
          <w:p>
            <w:pPr>
              <w:spacing w:after="0"/>
              <w:rPr>
                <w:sz w:val="15"/>
                <w:szCs w:val="15"/>
                <w:color w:val="auto"/>
              </w:rPr>
            </w:pP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1,179,534</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and land development</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561,871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1,148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5" w:type="dxa"/>
            <w:vAlign w:val="bottom"/>
            <w:shd w:val="clear" w:color="auto" w:fill="CCEEFF"/>
          </w:tcPr>
          <w:p>
            <w:pPr>
              <w:spacing w:after="0"/>
              <w:rPr>
                <w:sz w:val="15"/>
                <w:szCs w:val="15"/>
                <w:color w:val="auto"/>
              </w:rPr>
            </w:pPr>
          </w:p>
        </w:tc>
        <w:tc>
          <w:tcPr>
            <w:tcW w:w="605"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563,144</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Residential and multifamily real estate</w:t>
            </w:r>
          </w:p>
        </w:tc>
        <w:tc>
          <w:tcPr>
            <w:tcW w:w="110" w:type="dxa"/>
            <w:vAlign w:val="bottom"/>
          </w:tcPr>
          <w:p>
            <w:pPr>
              <w:spacing w:after="0"/>
              <w:rPr>
                <w:sz w:val="15"/>
                <w:szCs w:val="15"/>
                <w:color w:val="auto"/>
              </w:rPr>
            </w:pPr>
          </w:p>
        </w:tc>
        <w:tc>
          <w:tcPr>
            <w:tcW w:w="910" w:type="dxa"/>
            <w:vAlign w:val="bottom"/>
          </w:tcPr>
          <w:p>
            <w:pPr>
              <w:jc w:val="right"/>
              <w:ind w:right="29"/>
              <w:spacing w:after="0"/>
              <w:rPr>
                <w:sz w:val="20"/>
                <w:szCs w:val="20"/>
                <w:color w:val="auto"/>
              </w:rPr>
            </w:pPr>
            <w:r>
              <w:rPr>
                <w:rFonts w:ascii="Arial" w:cs="Arial" w:eastAsia="Arial" w:hAnsi="Arial"/>
                <w:sz w:val="14"/>
                <w:szCs w:val="14"/>
                <w:color w:val="auto"/>
              </w:rPr>
              <w:t>672,327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305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5,199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3,101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5" w:type="dxa"/>
            <w:vAlign w:val="bottom"/>
          </w:tcPr>
          <w:p>
            <w:pPr>
              <w:spacing w:after="0"/>
              <w:rPr>
                <w:sz w:val="15"/>
                <w:szCs w:val="15"/>
                <w:color w:val="auto"/>
              </w:rPr>
            </w:pPr>
          </w:p>
        </w:tc>
        <w:tc>
          <w:tcPr>
            <w:tcW w:w="605" w:type="dxa"/>
            <w:vAlign w:val="bottom"/>
          </w:tcPr>
          <w:p>
            <w:pPr>
              <w:spacing w:after="0"/>
              <w:rPr>
                <w:sz w:val="15"/>
                <w:szCs w:val="15"/>
                <w:color w:val="auto"/>
              </w:rPr>
            </w:pP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680,932</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PPP</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292,230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5" w:type="dxa"/>
            <w:vAlign w:val="bottom"/>
            <w:shd w:val="clear" w:color="auto" w:fill="CCEEFF"/>
          </w:tcPr>
          <w:p>
            <w:pPr>
              <w:spacing w:after="0"/>
              <w:rPr>
                <w:sz w:val="15"/>
                <w:szCs w:val="15"/>
                <w:color w:val="auto"/>
              </w:rPr>
            </w:pPr>
          </w:p>
        </w:tc>
        <w:tc>
          <w:tcPr>
            <w:tcW w:w="605"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292,230</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Consumer</w:t>
            </w:r>
          </w:p>
        </w:tc>
        <w:tc>
          <w:tcPr>
            <w:tcW w:w="110" w:type="dxa"/>
            <w:vAlign w:val="bottom"/>
            <w:tcBorders>
              <w:bottom w:val="single" w:sz="8" w:color="auto"/>
            </w:tcBorders>
          </w:tcPr>
          <w:p>
            <w:pPr>
              <w:spacing w:after="0"/>
              <w:rPr>
                <w:sz w:val="15"/>
                <w:szCs w:val="15"/>
                <w:color w:val="auto"/>
              </w:rPr>
            </w:pPr>
          </w:p>
        </w:tc>
        <w:tc>
          <w:tcPr>
            <w:tcW w:w="91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55,026</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5" w:type="dxa"/>
            <w:vAlign w:val="bottom"/>
            <w:tcBorders>
              <w:bottom w:val="single" w:sz="8" w:color="auto"/>
            </w:tcBorders>
          </w:tcPr>
          <w:p>
            <w:pPr>
              <w:spacing w:after="0"/>
              <w:rPr>
                <w:sz w:val="15"/>
                <w:szCs w:val="15"/>
                <w:color w:val="auto"/>
              </w:rPr>
            </w:pPr>
          </w:p>
        </w:tc>
        <w:tc>
          <w:tcPr>
            <w:tcW w:w="605"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10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55,270</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540" w:type="dxa"/>
            <w:vAlign w:val="bottom"/>
            <w:tcBorders>
              <w:bottom w:val="single" w:sz="8" w:color="CCEEFF"/>
            </w:tcBorders>
            <w:shd w:val="clear" w:color="auto" w:fill="CCEEFF"/>
          </w:tcPr>
          <w:p>
            <w:pPr>
              <w:spacing w:after="0"/>
              <w:rPr>
                <w:sz w:val="15"/>
                <w:szCs w:val="15"/>
                <w:color w:val="auto"/>
              </w:rPr>
            </w:pPr>
          </w:p>
        </w:tc>
        <w:tc>
          <w:tcPr>
            <w:tcW w:w="1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1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3,944,627</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224,416</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211,008</w:t>
            </w:r>
          </w:p>
        </w:tc>
        <w:tc>
          <w:tcPr>
            <w:tcW w:w="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70,734</w:t>
            </w:r>
          </w:p>
        </w:tc>
        <w:tc>
          <w:tcPr>
            <w:tcW w:w="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4,315</w:t>
            </w:r>
          </w:p>
        </w:tc>
        <w:tc>
          <w:tcPr>
            <w:tcW w:w="195"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605"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7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7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4,455,100</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9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605"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10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460"/>
          </w:cols>
          <w:pgMar w:left="820" w:top="459" w:right="619" w:bottom="1440" w:gutter="0" w:footer="0" w:header="0"/>
        </w:sectPr>
      </w:pPr>
    </w:p>
    <w:bookmarkStart w:id="23" w:name="page24"/>
    <w:bookmarkEnd w:id="23"/>
    <w:p>
      <w:pPr>
        <w:spacing w:after="0"/>
        <w:tabs>
          <w:tab w:leader="none" w:pos="358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4"/>
          <w:szCs w:val="14"/>
          <w:i w:val="1"/>
          <w:iCs w:val="1"/>
          <w:u w:val="single" w:color="auto"/>
          <w:color w:val="auto"/>
        </w:rPr>
        <w:t>Loan Portfolio Aging Analysis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tables present the Company’s loan portfolio aging analysis as of September 30, 2021 and December 31, 2020:</w:t>
      </w:r>
    </w:p>
    <w:p>
      <w:pPr>
        <w:spacing w:after="0" w:line="3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3"/>
              </w:rPr>
              <w:t>30-59 Days Past</w:t>
            </w:r>
          </w:p>
        </w:tc>
        <w:tc>
          <w:tcPr>
            <w:tcW w:w="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60-89 Days Past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w w:val="95"/>
              </w:rPr>
              <w:t>90 Days 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auto"/>
                <w:w w:val="91"/>
              </w:rPr>
              <w:t>Total Loans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1"/>
              </w:rPr>
              <w:t>Loans &gt;= 90 Days</w:t>
            </w: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91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Due</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Due</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More</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2"/>
              </w:rPr>
              <w:t>Total Past Due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Current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2"/>
              </w:rPr>
              <w:t>Receivable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107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3"/>
              </w:rPr>
              <w:t>and Accruing</w:t>
            </w:r>
          </w:p>
        </w:tc>
        <w:tc>
          <w:tcPr>
            <w:tcW w:w="2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1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gridSpan w:val="6"/>
          </w:tcPr>
          <w:p>
            <w:pPr>
              <w:ind w:left="40"/>
              <w:spacing w:after="0"/>
              <w:rPr>
                <w:sz w:val="20"/>
                <w:szCs w:val="20"/>
                <w:color w:val="auto"/>
              </w:rPr>
            </w:pPr>
            <w:r>
              <w:rPr>
                <w:rFonts w:ascii="Arial" w:cs="Arial" w:eastAsia="Arial" w:hAnsi="Arial"/>
                <w:sz w:val="14"/>
                <w:szCs w:val="14"/>
                <w:i w:val="1"/>
                <w:iCs w:val="1"/>
                <w:color w:val="auto"/>
                <w:w w:val="99"/>
              </w:rPr>
              <w:t>(Dollars in thousands)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7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2021</w:t>
            </w:r>
          </w:p>
        </w:tc>
        <w:tc>
          <w:tcPr>
            <w:tcW w:w="110" w:type="dxa"/>
            <w:vAlign w:val="bottom"/>
            <w:shd w:val="clear" w:color="auto" w:fill="CCEEFF"/>
          </w:tcPr>
          <w:p>
            <w:pPr>
              <w:spacing w:after="0"/>
              <w:rPr>
                <w:sz w:val="16"/>
                <w:szCs w:val="16"/>
                <w:color w:val="auto"/>
              </w:rPr>
            </w:pPr>
          </w:p>
        </w:tc>
        <w:tc>
          <w:tcPr>
            <w:tcW w:w="91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107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Commercial</w:t>
            </w:r>
          </w:p>
        </w:tc>
        <w:tc>
          <w:tcPr>
            <w:tcW w:w="110" w:type="dxa"/>
            <w:vAlign w:val="bottom"/>
          </w:tcPr>
          <w:p>
            <w:pPr>
              <w:spacing w:after="0"/>
              <w:rPr>
                <w:sz w:val="20"/>
                <w:szCs w:val="20"/>
                <w:color w:val="auto"/>
              </w:rPr>
            </w:pPr>
            <w:r>
              <w:rPr>
                <w:rFonts w:ascii="Arial" w:cs="Arial" w:eastAsia="Arial" w:hAnsi="Arial"/>
                <w:sz w:val="14"/>
                <w:szCs w:val="14"/>
                <w:color w:val="auto"/>
              </w:rPr>
              <w:t>$</w:t>
            </w:r>
          </w:p>
        </w:tc>
        <w:tc>
          <w:tcPr>
            <w:tcW w:w="910" w:type="dxa"/>
            <w:vAlign w:val="bottom"/>
          </w:tcPr>
          <w:p>
            <w:pPr>
              <w:jc w:val="right"/>
              <w:ind w:right="29"/>
              <w:spacing w:after="0"/>
              <w:rPr>
                <w:sz w:val="20"/>
                <w:szCs w:val="20"/>
                <w:color w:val="auto"/>
              </w:rPr>
            </w:pPr>
            <w:r>
              <w:rPr>
                <w:rFonts w:ascii="Arial" w:cs="Arial" w:eastAsia="Arial" w:hAnsi="Arial"/>
                <w:sz w:val="14"/>
                <w:szCs w:val="14"/>
                <w:color w:val="auto"/>
              </w:rPr>
              <w:t>1,716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12,700</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1,167</w:t>
            </w: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15,583</w:t>
            </w:r>
          </w:p>
        </w:tc>
        <w:tc>
          <w:tcPr>
            <w:tcW w:w="2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1,289,953</w:t>
            </w: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1,305,536</w:t>
            </w:r>
          </w:p>
        </w:tc>
        <w:tc>
          <w:tcPr>
            <w:tcW w:w="17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300</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6,500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6,144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13,382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282,983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296,365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Commercial real estate</w:t>
            </w:r>
          </w:p>
        </w:tc>
        <w:tc>
          <w:tcPr>
            <w:tcW w:w="110" w:type="dxa"/>
            <w:vAlign w:val="bottom"/>
          </w:tcPr>
          <w:p>
            <w:pPr>
              <w:spacing w:after="0"/>
              <w:rPr>
                <w:sz w:val="15"/>
                <w:szCs w:val="15"/>
                <w:color w:val="auto"/>
              </w:rPr>
            </w:pPr>
          </w:p>
        </w:tc>
        <w:tc>
          <w:tcPr>
            <w:tcW w:w="910" w:type="dxa"/>
            <w:vAlign w:val="bottom"/>
          </w:tcPr>
          <w:p>
            <w:pPr>
              <w:jc w:val="right"/>
              <w:ind w:right="29"/>
              <w:spacing w:after="0"/>
              <w:rPr>
                <w:sz w:val="20"/>
                <w:szCs w:val="20"/>
                <w:color w:val="auto"/>
              </w:rPr>
            </w:pPr>
            <w:r>
              <w:rPr>
                <w:rFonts w:ascii="Arial" w:cs="Arial" w:eastAsia="Arial" w:hAnsi="Arial"/>
                <w:sz w:val="14"/>
                <w:szCs w:val="14"/>
                <w:color w:val="auto"/>
              </w:rPr>
              <w:t>398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15,328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15,726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1,250,968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1,266,694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and land development</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585,134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585,134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Residential and multifamily real estate</w:t>
            </w:r>
          </w:p>
        </w:tc>
        <w:tc>
          <w:tcPr>
            <w:tcW w:w="110" w:type="dxa"/>
            <w:vAlign w:val="bottom"/>
          </w:tcPr>
          <w:p>
            <w:pPr>
              <w:spacing w:after="0"/>
              <w:rPr>
                <w:sz w:val="15"/>
                <w:szCs w:val="15"/>
                <w:color w:val="auto"/>
              </w:rPr>
            </w:pPr>
          </w:p>
        </w:tc>
        <w:tc>
          <w:tcPr>
            <w:tcW w:w="910" w:type="dxa"/>
            <w:vAlign w:val="bottom"/>
          </w:tcPr>
          <w:p>
            <w:pPr>
              <w:jc w:val="right"/>
              <w:ind w:right="29"/>
              <w:spacing w:after="0"/>
              <w:rPr>
                <w:sz w:val="20"/>
                <w:szCs w:val="20"/>
                <w:color w:val="auto"/>
              </w:rPr>
            </w:pPr>
            <w:r>
              <w:rPr>
                <w:rFonts w:ascii="Arial" w:cs="Arial" w:eastAsia="Arial" w:hAnsi="Arial"/>
                <w:sz w:val="14"/>
                <w:szCs w:val="14"/>
                <w:color w:val="auto"/>
              </w:rPr>
              <w:t>191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1,844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618,842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620,877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PPP</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109,465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109,465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Consumer</w:t>
            </w:r>
          </w:p>
        </w:tc>
        <w:tc>
          <w:tcPr>
            <w:tcW w:w="110" w:type="dxa"/>
            <w:vAlign w:val="bottom"/>
            <w:tcBorders>
              <w:bottom w:val="single" w:sz="8" w:color="auto"/>
            </w:tcBorders>
          </w:tcPr>
          <w:p>
            <w:pPr>
              <w:spacing w:after="0"/>
              <w:rPr>
                <w:sz w:val="14"/>
                <w:szCs w:val="14"/>
                <w:color w:val="auto"/>
              </w:rPr>
            </w:pPr>
          </w:p>
        </w:tc>
        <w:tc>
          <w:tcPr>
            <w:tcW w:w="91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62,084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62,113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10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91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0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34,528</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9,155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46,755</w:t>
            </w: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4,199,429</w:t>
            </w: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4,246,184</w:t>
            </w:r>
          </w:p>
        </w:tc>
        <w:tc>
          <w:tcPr>
            <w:tcW w:w="17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342</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3"/>
              </w:rPr>
              <w:t>30-59 Days Past</w:t>
            </w:r>
          </w:p>
        </w:tc>
        <w:tc>
          <w:tcPr>
            <w:tcW w:w="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60-89 Days Past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b w:val="1"/>
                <w:bCs w:val="1"/>
                <w:color w:val="auto"/>
                <w:w w:val="95"/>
              </w:rPr>
              <w:t>90 Days or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b w:val="1"/>
                <w:bCs w:val="1"/>
                <w:color w:val="auto"/>
                <w:w w:val="91"/>
              </w:rPr>
              <w:t>Total Loans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1"/>
              </w:rPr>
              <w:t>Loans &gt;= 90 Days</w:t>
            </w: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91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Due</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Due</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More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2"/>
              </w:rPr>
              <w:t>Total Past Due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Current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2"/>
              </w:rPr>
              <w:t>Receivable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107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3"/>
              </w:rPr>
              <w:t>and Accruing</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1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i w:val="1"/>
                <w:iCs w:val="1"/>
                <w:color w:val="auto"/>
                <w:w w:val="85"/>
              </w:rPr>
              <w:t>(Dollars in thousands)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07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2020</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Commercial</w:t>
            </w:r>
          </w:p>
        </w:tc>
        <w:tc>
          <w:tcPr>
            <w:tcW w:w="110" w:type="dxa"/>
            <w:vAlign w:val="bottom"/>
          </w:tcPr>
          <w:p>
            <w:pPr>
              <w:spacing w:after="0"/>
              <w:rPr>
                <w:sz w:val="20"/>
                <w:szCs w:val="20"/>
                <w:color w:val="auto"/>
              </w:rPr>
            </w:pPr>
            <w:r>
              <w:rPr>
                <w:rFonts w:ascii="Arial" w:cs="Arial" w:eastAsia="Arial" w:hAnsi="Arial"/>
                <w:sz w:val="14"/>
                <w:szCs w:val="14"/>
                <w:color w:val="auto"/>
              </w:rPr>
              <w:t>$</w:t>
            </w:r>
          </w:p>
        </w:tc>
        <w:tc>
          <w:tcPr>
            <w:tcW w:w="910" w:type="dxa"/>
            <w:vAlign w:val="bottom"/>
          </w:tcPr>
          <w:p>
            <w:pPr>
              <w:jc w:val="right"/>
              <w:ind w:right="29"/>
              <w:spacing w:after="0"/>
              <w:rPr>
                <w:sz w:val="20"/>
                <w:szCs w:val="20"/>
                <w:color w:val="auto"/>
              </w:rPr>
            </w:pPr>
            <w:r>
              <w:rPr>
                <w:rFonts w:ascii="Arial" w:cs="Arial" w:eastAsia="Arial" w:hAnsi="Arial"/>
                <w:sz w:val="14"/>
                <w:szCs w:val="14"/>
                <w:color w:val="auto"/>
              </w:rPr>
              <w:t>8,497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264</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11,236</w:t>
            </w:r>
          </w:p>
        </w:tc>
        <w:tc>
          <w:tcPr>
            <w:tcW w:w="14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19,997</w:t>
            </w:r>
          </w:p>
        </w:tc>
        <w:tc>
          <w:tcPr>
            <w:tcW w:w="1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1,318,760</w:t>
            </w: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1,338,757</w:t>
            </w:r>
          </w:p>
        </w:tc>
        <w:tc>
          <w:tcPr>
            <w:tcW w:w="17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7,173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7,173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338,060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345,233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372</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Commercial real estate</w:t>
            </w:r>
          </w:p>
        </w:tc>
        <w:tc>
          <w:tcPr>
            <w:tcW w:w="110" w:type="dxa"/>
            <w:vAlign w:val="bottom"/>
          </w:tcPr>
          <w:p>
            <w:pPr>
              <w:spacing w:after="0"/>
              <w:rPr>
                <w:sz w:val="15"/>
                <w:szCs w:val="15"/>
                <w:color w:val="auto"/>
              </w:rPr>
            </w:pPr>
          </w:p>
        </w:tc>
        <w:tc>
          <w:tcPr>
            <w:tcW w:w="910" w:type="dxa"/>
            <w:vAlign w:val="bottom"/>
          </w:tcPr>
          <w:p>
            <w:pPr>
              <w:jc w:val="right"/>
              <w:ind w:right="29"/>
              <w:spacing w:after="0"/>
              <w:rPr>
                <w:sz w:val="20"/>
                <w:szCs w:val="20"/>
                <w:color w:val="auto"/>
              </w:rPr>
            </w:pPr>
            <w:r>
              <w:rPr>
                <w:rFonts w:ascii="Arial" w:cs="Arial" w:eastAsia="Arial" w:hAnsi="Arial"/>
                <w:sz w:val="14"/>
                <w:szCs w:val="14"/>
                <w:color w:val="auto"/>
              </w:rPr>
              <w:t>63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7,677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4,825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12,565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1,166,969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1,179,534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and land development</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563,144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563,144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Residential and multifamily real estate</w:t>
            </w:r>
          </w:p>
        </w:tc>
        <w:tc>
          <w:tcPr>
            <w:tcW w:w="110" w:type="dxa"/>
            <w:vAlign w:val="bottom"/>
          </w:tcPr>
          <w:p>
            <w:pPr>
              <w:spacing w:after="0"/>
              <w:rPr>
                <w:sz w:val="15"/>
                <w:szCs w:val="15"/>
                <w:color w:val="auto"/>
              </w:rPr>
            </w:pPr>
          </w:p>
        </w:tc>
        <w:tc>
          <w:tcPr>
            <w:tcW w:w="910" w:type="dxa"/>
            <w:vAlign w:val="bottom"/>
          </w:tcPr>
          <w:p>
            <w:pPr>
              <w:jc w:val="right"/>
              <w:ind w:right="29"/>
              <w:spacing w:after="0"/>
              <w:rPr>
                <w:sz w:val="20"/>
                <w:szCs w:val="20"/>
                <w:color w:val="auto"/>
              </w:rPr>
            </w:pPr>
            <w:r>
              <w:rPr>
                <w:rFonts w:ascii="Arial" w:cs="Arial" w:eastAsia="Arial" w:hAnsi="Arial"/>
                <w:sz w:val="14"/>
                <w:szCs w:val="14"/>
                <w:color w:val="auto"/>
              </w:rPr>
              <w:t>1,577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3,520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5,097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675,835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680,932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70" w:type="dxa"/>
            <w:vAlign w:val="bottom"/>
          </w:tcPr>
          <w:p>
            <w:pPr>
              <w:jc w:val="right"/>
              <w:ind w:right="29"/>
              <w:spacing w:after="0"/>
              <w:rPr>
                <w:sz w:val="20"/>
                <w:szCs w:val="20"/>
                <w:color w:val="auto"/>
              </w:rPr>
            </w:pPr>
            <w:r>
              <w:rPr>
                <w:rFonts w:ascii="Arial" w:cs="Arial" w:eastAsia="Arial" w:hAnsi="Arial"/>
                <w:sz w:val="14"/>
                <w:szCs w:val="14"/>
                <w:color w:val="auto"/>
              </w:rPr>
              <w:t>652</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PPP</w:t>
            </w:r>
          </w:p>
        </w:tc>
        <w:tc>
          <w:tcPr>
            <w:tcW w:w="110" w:type="dxa"/>
            <w:vAlign w:val="bottom"/>
            <w:shd w:val="clear" w:color="auto" w:fill="CCEEFF"/>
          </w:tcPr>
          <w:p>
            <w:pPr>
              <w:spacing w:after="0"/>
              <w:rPr>
                <w:sz w:val="15"/>
                <w:szCs w:val="15"/>
                <w:color w:val="auto"/>
              </w:rPr>
            </w:pP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292,230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292,230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Consumer</w:t>
            </w:r>
          </w:p>
        </w:tc>
        <w:tc>
          <w:tcPr>
            <w:tcW w:w="110" w:type="dxa"/>
            <w:vAlign w:val="bottom"/>
            <w:tcBorders>
              <w:bottom w:val="single" w:sz="8" w:color="auto"/>
            </w:tcBorders>
          </w:tcPr>
          <w:p>
            <w:pPr>
              <w:spacing w:after="0"/>
              <w:rPr>
                <w:sz w:val="15"/>
                <w:szCs w:val="15"/>
                <w:color w:val="auto"/>
              </w:rPr>
            </w:pPr>
          </w:p>
        </w:tc>
        <w:tc>
          <w:tcPr>
            <w:tcW w:w="91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55,270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55,270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10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10,137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7,941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26,754</w:t>
            </w:r>
          </w:p>
        </w:tc>
        <w:tc>
          <w:tcPr>
            <w:tcW w:w="1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44,832</w:t>
            </w: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4,410,268</w:t>
            </w: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4,455,100</w:t>
            </w:r>
          </w:p>
        </w:tc>
        <w:tc>
          <w:tcPr>
            <w:tcW w:w="17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1,024</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9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10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Impaired Loans</w:t>
      </w:r>
    </w:p>
    <w:p>
      <w:pPr>
        <w:spacing w:after="0" w:line="161" w:lineRule="exact"/>
        <w:rPr>
          <w:sz w:val="20"/>
          <w:szCs w:val="20"/>
          <w:color w:val="auto"/>
        </w:rPr>
      </w:pPr>
    </w:p>
    <w:p>
      <w:pPr>
        <w:ind w:left="80" w:right="60" w:firstLine="384"/>
        <w:spacing w:after="0" w:line="301" w:lineRule="auto"/>
        <w:rPr>
          <w:sz w:val="20"/>
          <w:szCs w:val="20"/>
          <w:color w:val="auto"/>
        </w:rPr>
      </w:pPr>
      <w:r>
        <w:rPr>
          <w:rFonts w:ascii="Arial" w:cs="Arial" w:eastAsia="Arial" w:hAnsi="Arial"/>
          <w:sz w:val="14"/>
          <w:szCs w:val="14"/>
          <w:color w:val="auto"/>
        </w:rPr>
        <w:t>A loan is considered impaired, in accordance with the impairment accounting guidance (ASC 310-10-35-16), when based on current information and events, it is probable the Company will be unable to collect all amounts due from the borrower in accordance with the contractual terms of the loan. Impaired loans include nonperforming loans but also include loans modified in troubled debt restructurings where concessions have been granted to borrowers experiencing financial difficulties. The intent of concessions is to maximize collection.</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460"/>
          </w:cols>
          <w:pgMar w:left="820" w:top="459" w:right="619" w:bottom="1440" w:gutter="0" w:footer="0" w:header="0"/>
        </w:sectPr>
      </w:pPr>
    </w:p>
    <w:bookmarkStart w:id="24" w:name="page25"/>
    <w:bookmarkEnd w:id="24"/>
    <w:p>
      <w:pPr>
        <w:spacing w:after="0"/>
        <w:tabs>
          <w:tab w:leader="none" w:pos="358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jc w:val="both"/>
        <w:ind w:left="80" w:right="400" w:firstLine="395"/>
        <w:spacing w:after="0" w:line="309" w:lineRule="auto"/>
        <w:rPr>
          <w:sz w:val="20"/>
          <w:szCs w:val="20"/>
          <w:color w:val="auto"/>
        </w:rPr>
      </w:pPr>
      <w:r>
        <w:rPr>
          <w:rFonts w:ascii="Arial" w:cs="Arial" w:eastAsia="Arial" w:hAnsi="Arial"/>
          <w:sz w:val="14"/>
          <w:szCs w:val="14"/>
          <w:color w:val="auto"/>
        </w:rPr>
        <w:t>Groups of loans with similar risk characteristics are collectively evaluated for impairment based on the group’s historical loss experience adjusted for changes in trends, conditions and other relevant factors that affect repayment of the loans. The following tables present loans individually evaluated for impairment, including all restructured and formerly restructured loans, for the periods ended September 30, 2021 and December 31, 2020:</w:t>
      </w: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0"/>
              </w:rPr>
              <w:t>Recorded Balance</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2"/>
              </w:rPr>
              <w:t>Unpaid Principal Balance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Specific Allowance</w:t>
            </w:r>
          </w:p>
        </w:tc>
        <w:tc>
          <w:tcPr>
            <w:tcW w:w="2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jc w:val="right"/>
              <w:ind w:right="389"/>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40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040" w:type="dxa"/>
            <w:vAlign w:val="bottom"/>
            <w:gridSpan w:val="2"/>
          </w:tcPr>
          <w:p>
            <w:pPr>
              <w:ind w:left="40"/>
              <w:spacing w:after="0"/>
              <w:rPr>
                <w:sz w:val="20"/>
                <w:szCs w:val="20"/>
                <w:color w:val="auto"/>
              </w:rPr>
            </w:pPr>
            <w:r>
              <w:rPr>
                <w:rFonts w:ascii="Arial" w:cs="Arial" w:eastAsia="Arial" w:hAnsi="Arial"/>
                <w:sz w:val="14"/>
                <w:szCs w:val="14"/>
                <w:b w:val="1"/>
                <w:bCs w:val="1"/>
                <w:color w:val="auto"/>
              </w:rPr>
              <w:t>Loans without a specific valuation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3"/>
              </w:rPr>
              <w:t>22,570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22,651</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Energy</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10,982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Residential and multifamily real estate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8,942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9,198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PPP</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Loans with a specific valuation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14,069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1,760</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Energy</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w w:val="83"/>
              </w:rPr>
              <w:t>24,694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32,289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2,624</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3"/>
              </w:rPr>
              <w:t>25,921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25,921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2,872</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Residential and multifamily real estate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PPP</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1"/>
                <w:szCs w:val="11"/>
                <w:b w:val="1"/>
                <w:bCs w:val="1"/>
                <w:color w:val="auto"/>
                <w:w w:val="75"/>
              </w:rPr>
              <w:t>Total</w:t>
            </w:r>
          </w:p>
        </w:tc>
        <w:tc>
          <w:tcPr>
            <w:tcW w:w="3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3"/>
              </w:rPr>
              <w:t>24,455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36,720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1,760</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Energy</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w w:val="83"/>
              </w:rPr>
              <w:t>25,503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34,098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2,624</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3"/>
              </w:rPr>
              <w:t>35,319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36,903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2,872</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Residential and multifamily real estate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8,942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9,198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PPP</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color w:val="auto"/>
                <w:w w:val="76"/>
              </w:rPr>
              <w:t>$</w:t>
            </w:r>
          </w:p>
        </w:tc>
        <w:tc>
          <w:tcPr>
            <w:tcW w:w="1320" w:type="dxa"/>
            <w:vAlign w:val="bottom"/>
          </w:tcPr>
          <w:p>
            <w:pPr>
              <w:spacing w:after="0"/>
              <w:rPr>
                <w:sz w:val="15"/>
                <w:szCs w:val="15"/>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w w:val="83"/>
              </w:rPr>
              <w:t>94,455</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117,155</w:t>
            </w:r>
          </w:p>
        </w:tc>
        <w:tc>
          <w:tcPr>
            <w:tcW w:w="3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7,256</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460"/>
          </w:cols>
          <w:pgMar w:left="820" w:top="459" w:right="6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302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5280" w:type="dxa"/>
            <w:vAlign w:val="bottom"/>
            <w:gridSpan w:val="6"/>
          </w:tcPr>
          <w:p>
            <w:pPr>
              <w:jc w:val="right"/>
              <w:ind w:right="1429"/>
              <w:spacing w:after="0"/>
              <w:rPr>
                <w:sz w:val="20"/>
                <w:szCs w:val="20"/>
                <w:color w:val="auto"/>
              </w:rPr>
            </w:pPr>
            <w:r>
              <w:rPr>
                <w:rFonts w:ascii="Arial" w:cs="Arial" w:eastAsia="Arial" w:hAnsi="Arial"/>
                <w:sz w:val="14"/>
                <w:szCs w:val="14"/>
                <w:color w:val="auto"/>
              </w:rPr>
              <w:t>Notes to Consolidated Financial Statements (unaudited)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59"/>
        </w:trPr>
        <w:tc>
          <w:tcPr>
            <w:tcW w:w="8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0" w:type="dxa"/>
            <w:vAlign w:val="bottom"/>
            <w:tcBorders>
              <w:bottom w:val="single" w:sz="8" w:color="auto"/>
            </w:tcBorders>
          </w:tcPr>
          <w:p>
            <w:pPr>
              <w:spacing w:after="0"/>
              <w:rPr>
                <w:sz w:val="24"/>
                <w:szCs w:val="24"/>
                <w:color w:val="auto"/>
              </w:rPr>
            </w:pPr>
          </w:p>
        </w:tc>
        <w:tc>
          <w:tcPr>
            <w:tcW w:w="183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Recorded Balance</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6"/>
              </w:rPr>
              <w:t>Unpaid Principal Balance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Specific Allowance</w:t>
            </w:r>
          </w:p>
        </w:tc>
        <w:tc>
          <w:tcPr>
            <w:tcW w:w="20" w:type="dxa"/>
            <w:vAlign w:val="bottom"/>
          </w:tcPr>
          <w:p>
            <w:pPr>
              <w:spacing w:after="0"/>
              <w:rPr>
                <w:sz w:val="24"/>
                <w:szCs w:val="24"/>
                <w:color w:val="auto"/>
              </w:rPr>
            </w:pPr>
          </w:p>
        </w:tc>
      </w:tr>
      <w:tr>
        <w:trPr>
          <w:trHeight w:val="172"/>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183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389"/>
              <w:spacing w:after="0"/>
              <w:rPr>
                <w:sz w:val="20"/>
                <w:szCs w:val="20"/>
                <w:color w:val="auto"/>
              </w:rPr>
            </w:pPr>
            <w:r>
              <w:rPr>
                <w:rFonts w:ascii="Arial" w:cs="Arial" w:eastAsia="Arial" w:hAnsi="Arial"/>
                <w:sz w:val="13"/>
                <w:szCs w:val="13"/>
                <w:i w:val="1"/>
                <w:iCs w:val="1"/>
                <w:color w:val="auto"/>
              </w:rPr>
              <w:t>(Dollars 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2020</w:t>
            </w:r>
          </w:p>
        </w:tc>
        <w:tc>
          <w:tcPr>
            <w:tcW w:w="112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183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Loans without a specific valuation</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Commercial</w:t>
            </w:r>
          </w:p>
        </w:tc>
        <w:tc>
          <w:tcPr>
            <w:tcW w:w="133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8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36,111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50,245</w:t>
            </w: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Arial" w:cs="Arial" w:eastAsia="Arial" w:hAnsi="Arial"/>
                <w:sz w:val="14"/>
                <w:szCs w:val="14"/>
                <w:color w:val="auto"/>
              </w:rPr>
              <w:t>Energy</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jc w:val="right"/>
              <w:ind w:right="9"/>
              <w:spacing w:after="0"/>
              <w:rPr>
                <w:sz w:val="20"/>
                <w:szCs w:val="20"/>
                <w:color w:val="auto"/>
              </w:rPr>
            </w:pPr>
            <w:r>
              <w:rPr>
                <w:rFonts w:ascii="Arial" w:cs="Arial" w:eastAsia="Arial" w:hAnsi="Arial"/>
                <w:sz w:val="14"/>
                <w:szCs w:val="14"/>
                <w:color w:val="auto"/>
              </w:rPr>
              <w:t>3,864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6,677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Commercial real estate</w:t>
            </w:r>
          </w:p>
        </w:tc>
        <w:tc>
          <w:tcPr>
            <w:tcW w:w="112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18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Arial" w:cs="Arial" w:eastAsia="Arial" w:hAnsi="Arial"/>
                <w:sz w:val="14"/>
                <w:szCs w:val="14"/>
                <w:color w:val="auto"/>
              </w:rPr>
              <w:t>Construction and land development</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Residential and multifamily real estate</w:t>
            </w:r>
          </w:p>
        </w:tc>
        <w:tc>
          <w:tcPr>
            <w:tcW w:w="112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18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Arial" w:cs="Arial" w:eastAsia="Arial" w:hAnsi="Arial"/>
                <w:sz w:val="14"/>
                <w:szCs w:val="14"/>
                <w:color w:val="auto"/>
              </w:rPr>
              <w:t>PPP</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Consumer</w:t>
            </w:r>
          </w:p>
        </w:tc>
        <w:tc>
          <w:tcPr>
            <w:tcW w:w="112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18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Loans with a specific valuation</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Commercial</w:t>
            </w:r>
          </w:p>
        </w:tc>
        <w:tc>
          <w:tcPr>
            <w:tcW w:w="112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18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1,115</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Arial" w:cs="Arial" w:eastAsia="Arial" w:hAnsi="Arial"/>
                <w:sz w:val="14"/>
                <w:szCs w:val="14"/>
                <w:color w:val="auto"/>
              </w:rPr>
              <w:t>Energy</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jc w:val="right"/>
              <w:ind w:right="9"/>
              <w:spacing w:after="0"/>
              <w:rPr>
                <w:sz w:val="20"/>
                <w:szCs w:val="20"/>
                <w:color w:val="auto"/>
              </w:rPr>
            </w:pPr>
            <w:r>
              <w:rPr>
                <w:rFonts w:ascii="Arial" w:cs="Arial" w:eastAsia="Arial" w:hAnsi="Arial"/>
                <w:sz w:val="14"/>
                <w:szCs w:val="14"/>
                <w:color w:val="auto"/>
              </w:rPr>
              <w:t>22,181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27,460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3,370</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Commercial real estate</w:t>
            </w:r>
          </w:p>
        </w:tc>
        <w:tc>
          <w:tcPr>
            <w:tcW w:w="112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18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34,239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34,239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5,048</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Arial" w:cs="Arial" w:eastAsia="Arial" w:hAnsi="Arial"/>
                <w:sz w:val="14"/>
                <w:szCs w:val="14"/>
                <w:color w:val="auto"/>
              </w:rPr>
              <w:t>Construction and land development</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Residential and multifamily real estate</w:t>
            </w:r>
          </w:p>
        </w:tc>
        <w:tc>
          <w:tcPr>
            <w:tcW w:w="112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18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Arial" w:cs="Arial" w:eastAsia="Arial" w:hAnsi="Arial"/>
                <w:sz w:val="14"/>
                <w:szCs w:val="14"/>
                <w:color w:val="auto"/>
              </w:rPr>
              <w:t>PPP</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Consumer</w:t>
            </w:r>
          </w:p>
        </w:tc>
        <w:tc>
          <w:tcPr>
            <w:tcW w:w="112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18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Commercial</w:t>
            </w:r>
          </w:p>
        </w:tc>
        <w:tc>
          <w:tcPr>
            <w:tcW w:w="112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18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44,678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1,115</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Arial" w:cs="Arial" w:eastAsia="Arial" w:hAnsi="Arial"/>
                <w:sz w:val="14"/>
                <w:szCs w:val="14"/>
                <w:color w:val="auto"/>
              </w:rPr>
              <w:t>Energy</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jc w:val="right"/>
              <w:ind w:right="9"/>
              <w:spacing w:after="0"/>
              <w:rPr>
                <w:sz w:val="20"/>
                <w:szCs w:val="20"/>
                <w:color w:val="auto"/>
              </w:rPr>
            </w:pPr>
            <w:r>
              <w:rPr>
                <w:rFonts w:ascii="Arial" w:cs="Arial" w:eastAsia="Arial" w:hAnsi="Arial"/>
                <w:sz w:val="14"/>
                <w:szCs w:val="14"/>
                <w:color w:val="auto"/>
              </w:rPr>
              <w:t>26,045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34,137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3,370</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Commercial real estate</w:t>
            </w:r>
          </w:p>
        </w:tc>
        <w:tc>
          <w:tcPr>
            <w:tcW w:w="112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18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44,318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45,902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5,048</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Arial" w:cs="Arial" w:eastAsia="Arial" w:hAnsi="Arial"/>
                <w:sz w:val="14"/>
                <w:szCs w:val="14"/>
                <w:color w:val="auto"/>
              </w:rPr>
              <w:t>Construction and land development</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Residential and multifamily real estate</w:t>
            </w:r>
          </w:p>
        </w:tc>
        <w:tc>
          <w:tcPr>
            <w:tcW w:w="1120" w:type="dxa"/>
            <w:vAlign w:val="bottom"/>
            <w:shd w:val="clear" w:color="auto" w:fill="CCEEFF"/>
          </w:tcPr>
          <w:p>
            <w:pPr>
              <w:spacing w:after="0"/>
              <w:rPr>
                <w:sz w:val="15"/>
                <w:szCs w:val="15"/>
                <w:color w:val="auto"/>
              </w:rPr>
            </w:pPr>
          </w:p>
        </w:tc>
        <w:tc>
          <w:tcPr>
            <w:tcW w:w="210" w:type="dxa"/>
            <w:vAlign w:val="bottom"/>
            <w:shd w:val="clear" w:color="auto" w:fill="CCEEFF"/>
          </w:tcPr>
          <w:p>
            <w:pPr>
              <w:spacing w:after="0"/>
              <w:rPr>
                <w:sz w:val="15"/>
                <w:szCs w:val="15"/>
                <w:color w:val="auto"/>
              </w:rPr>
            </w:pPr>
          </w:p>
        </w:tc>
        <w:tc>
          <w:tcPr>
            <w:tcW w:w="18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80" w:type="dxa"/>
            <w:vAlign w:val="bottom"/>
          </w:tcPr>
          <w:p>
            <w:pPr>
              <w:spacing w:after="0"/>
              <w:rPr>
                <w:sz w:val="15"/>
                <w:szCs w:val="15"/>
                <w:color w:val="auto"/>
              </w:rPr>
            </w:pPr>
          </w:p>
        </w:tc>
        <w:tc>
          <w:tcPr>
            <w:tcW w:w="2940" w:type="dxa"/>
            <w:vAlign w:val="bottom"/>
            <w:gridSpan w:val="2"/>
          </w:tcPr>
          <w:p>
            <w:pPr>
              <w:ind w:left="160"/>
              <w:spacing w:after="0"/>
              <w:rPr>
                <w:sz w:val="20"/>
                <w:szCs w:val="20"/>
                <w:color w:val="auto"/>
              </w:rPr>
            </w:pPr>
            <w:r>
              <w:rPr>
                <w:rFonts w:ascii="Arial" w:cs="Arial" w:eastAsia="Arial" w:hAnsi="Arial"/>
                <w:sz w:val="14"/>
                <w:szCs w:val="14"/>
                <w:color w:val="auto"/>
              </w:rPr>
              <w:t>PPP</w:t>
            </w:r>
          </w:p>
        </w:tc>
        <w:tc>
          <w:tcPr>
            <w:tcW w:w="1120" w:type="dxa"/>
            <w:vAlign w:val="bottom"/>
          </w:tcPr>
          <w:p>
            <w:pPr>
              <w:spacing w:after="0"/>
              <w:rPr>
                <w:sz w:val="15"/>
                <w:szCs w:val="15"/>
                <w:color w:val="auto"/>
              </w:rPr>
            </w:pPr>
          </w:p>
        </w:tc>
        <w:tc>
          <w:tcPr>
            <w:tcW w:w="210" w:type="dxa"/>
            <w:vAlign w:val="bottom"/>
          </w:tcPr>
          <w:p>
            <w:pPr>
              <w:spacing w:after="0"/>
              <w:rPr>
                <w:sz w:val="15"/>
                <w:szCs w:val="15"/>
                <w:color w:val="auto"/>
              </w:rPr>
            </w:pPr>
          </w:p>
        </w:tc>
        <w:tc>
          <w:tcPr>
            <w:tcW w:w="183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1"/>
        </w:trPr>
        <w:tc>
          <w:tcPr>
            <w:tcW w:w="80" w:type="dxa"/>
            <w:vAlign w:val="bottom"/>
          </w:tcPr>
          <w:p>
            <w:pPr>
              <w:spacing w:after="0"/>
              <w:rPr>
                <w:sz w:val="14"/>
                <w:szCs w:val="14"/>
                <w:color w:val="auto"/>
              </w:rPr>
            </w:pPr>
          </w:p>
        </w:tc>
        <w:tc>
          <w:tcPr>
            <w:tcW w:w="2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Consumer</w:t>
            </w:r>
          </w:p>
        </w:tc>
        <w:tc>
          <w:tcPr>
            <w:tcW w:w="1120" w:type="dxa"/>
            <w:vAlign w:val="bottom"/>
            <w:tcBorders>
              <w:bottom w:val="single" w:sz="8" w:color="CCEEFF"/>
            </w:tcBorders>
            <w:shd w:val="clear" w:color="auto" w:fill="CCEEFF"/>
          </w:tcPr>
          <w:p>
            <w:pPr>
              <w:spacing w:after="0"/>
              <w:rPr>
                <w:sz w:val="14"/>
                <w:szCs w:val="14"/>
                <w:color w:val="auto"/>
              </w:rPr>
            </w:pPr>
          </w:p>
        </w:tc>
        <w:tc>
          <w:tcPr>
            <w:tcW w:w="210" w:type="dxa"/>
            <w:vAlign w:val="bottom"/>
            <w:tcBorders>
              <w:bottom w:val="single" w:sz="8" w:color="auto"/>
            </w:tcBorders>
            <w:shd w:val="clear" w:color="auto" w:fill="CCEEFF"/>
          </w:tcPr>
          <w:p>
            <w:pPr>
              <w:spacing w:after="0"/>
              <w:rPr>
                <w:sz w:val="14"/>
                <w:szCs w:val="14"/>
                <w:color w:val="auto"/>
              </w:rPr>
            </w:pPr>
          </w:p>
        </w:tc>
        <w:tc>
          <w:tcPr>
            <w:tcW w:w="183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93"/>
        </w:trPr>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33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830" w:type="dxa"/>
            <w:vAlign w:val="bottom"/>
          </w:tcPr>
          <w:p>
            <w:pPr>
              <w:jc w:val="right"/>
              <w:ind w:right="9"/>
              <w:spacing w:after="0"/>
              <w:rPr>
                <w:sz w:val="20"/>
                <w:szCs w:val="20"/>
                <w:color w:val="auto"/>
              </w:rPr>
            </w:pPr>
            <w:r>
              <w:rPr>
                <w:rFonts w:ascii="Arial" w:cs="Arial" w:eastAsia="Arial" w:hAnsi="Arial"/>
                <w:sz w:val="14"/>
                <w:szCs w:val="14"/>
                <w:color w:val="auto"/>
              </w:rPr>
              <w:t>121,614</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9"/>
              <w:spacing w:after="0"/>
              <w:rPr>
                <w:sz w:val="20"/>
                <w:szCs w:val="20"/>
                <w:color w:val="auto"/>
              </w:rPr>
            </w:pPr>
            <w:r>
              <w:rPr>
                <w:rFonts w:ascii="Arial" w:cs="Arial" w:eastAsia="Arial" w:hAnsi="Arial"/>
                <w:sz w:val="14"/>
                <w:szCs w:val="14"/>
                <w:color w:val="auto"/>
              </w:rPr>
              <w:t>145,680</w:t>
            </w: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9"/>
              <w:spacing w:after="0"/>
              <w:rPr>
                <w:sz w:val="20"/>
                <w:szCs w:val="20"/>
                <w:color w:val="auto"/>
              </w:rPr>
            </w:pPr>
            <w:r>
              <w:rPr>
                <w:rFonts w:ascii="Arial" w:cs="Arial" w:eastAsia="Arial" w:hAnsi="Arial"/>
                <w:sz w:val="14"/>
                <w:szCs w:val="14"/>
                <w:color w:val="auto"/>
              </w:rPr>
              <w:t>9,533</w:t>
            </w:r>
          </w:p>
        </w:tc>
        <w:tc>
          <w:tcPr>
            <w:tcW w:w="2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 w:type="dxa"/>
            <w:vAlign w:val="bottom"/>
            <w:tcBorders>
              <w:top w:val="single" w:sz="8" w:color="auto"/>
              <w:bottom w:val="single" w:sz="8" w:color="auto"/>
            </w:tcBorders>
          </w:tcPr>
          <w:p>
            <w:pPr>
              <w:spacing w:after="0" w:line="20" w:lineRule="exact"/>
              <w:rPr>
                <w:sz w:val="1"/>
                <w:szCs w:val="1"/>
                <w:color w:val="auto"/>
              </w:rPr>
            </w:pPr>
          </w:p>
        </w:tc>
        <w:tc>
          <w:tcPr>
            <w:tcW w:w="183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460"/>
          </w:cols>
          <w:pgMar w:left="820" w:top="448" w:right="619" w:bottom="1440" w:gutter="0" w:footer="0" w:header="0"/>
        </w:sectPr>
      </w:pPr>
    </w:p>
    <w:bookmarkStart w:id="26" w:name="page27"/>
    <w:bookmarkEnd w:id="26"/>
    <w:p>
      <w:pPr>
        <w:spacing w:after="0"/>
        <w:tabs>
          <w:tab w:leader="none" w:pos="358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ind w:left="80" w:right="40" w:firstLine="395"/>
        <w:spacing w:after="0" w:line="316" w:lineRule="auto"/>
        <w:rPr>
          <w:sz w:val="20"/>
          <w:szCs w:val="20"/>
          <w:color w:val="auto"/>
        </w:rPr>
      </w:pPr>
      <w:r>
        <w:rPr>
          <w:rFonts w:ascii="Arial" w:cs="Arial" w:eastAsia="Arial" w:hAnsi="Arial"/>
          <w:sz w:val="14"/>
          <w:szCs w:val="14"/>
          <w:color w:val="auto"/>
        </w:rPr>
        <w:t>The table below shows interest income recognized during the three- and nine-month periods ended September 30, 2021 and 2020 for impaired loans, including all restructured and formerly restructured loans, held at the end of each period:</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jc w:val="right"/>
              <w:ind w:right="249"/>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9"/>
        </w:trPr>
        <w:tc>
          <w:tcPr>
            <w:tcW w:w="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80" w:type="dxa"/>
            <w:vAlign w:val="bottom"/>
            <w:gridSpan w:val="2"/>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7"/>
                <w:szCs w:val="17"/>
                <w:color w:val="auto"/>
              </w:rPr>
            </w:pPr>
          </w:p>
        </w:tc>
      </w:tr>
      <w:tr>
        <w:trPr>
          <w:trHeight w:val="197"/>
        </w:trPr>
        <w:tc>
          <w:tcPr>
            <w:tcW w:w="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gridSpan w:val="4"/>
          </w:tcPr>
          <w:p>
            <w:pPr>
              <w:jc w:val="right"/>
              <w:ind w:right="289"/>
              <w:spacing w:after="0"/>
              <w:rPr>
                <w:sz w:val="20"/>
                <w:szCs w:val="20"/>
                <w:color w:val="auto"/>
              </w:rPr>
            </w:pPr>
            <w:r>
              <w:rPr>
                <w:rFonts w:ascii="Arial" w:cs="Arial" w:eastAsia="Arial" w:hAnsi="Arial"/>
                <w:sz w:val="13"/>
                <w:szCs w:val="13"/>
                <w:i w:val="1"/>
                <w:iCs w:val="1"/>
                <w:color w:val="auto"/>
                <w:w w:val="91"/>
              </w:rPr>
              <w:t>(Dollars in thousands)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60" w:type="dxa"/>
            <w:vAlign w:val="bottom"/>
          </w:tcPr>
          <w:p>
            <w:pPr>
              <w:spacing w:after="0"/>
              <w:rPr>
                <w:sz w:val="16"/>
                <w:szCs w:val="16"/>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11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307</w:t>
            </w:r>
          </w:p>
        </w:tc>
        <w:tc>
          <w:tcPr>
            <w:tcW w:w="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940" w:type="dxa"/>
            <w:vAlign w:val="bottom"/>
            <w:gridSpan w:val="3"/>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930</w:t>
            </w:r>
          </w:p>
        </w:tc>
        <w:tc>
          <w:tcPr>
            <w:tcW w:w="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841</w:t>
            </w:r>
          </w:p>
        </w:tc>
        <w:tc>
          <w:tcPr>
            <w:tcW w:w="20" w:type="dxa"/>
            <w:vAlign w:val="bottom"/>
            <w:shd w:val="clear" w:color="auto" w:fill="CCEEFF"/>
          </w:tcPr>
          <w:p>
            <w:pPr>
              <w:spacing w:after="0"/>
              <w:rPr>
                <w:sz w:val="16"/>
                <w:szCs w:val="16"/>
                <w:color w:val="auto"/>
              </w:rPr>
            </w:pPr>
          </w:p>
        </w:tc>
      </w:tr>
      <w:tr>
        <w:trPr>
          <w:trHeight w:val="181"/>
        </w:trPr>
        <w:tc>
          <w:tcPr>
            <w:tcW w:w="3180" w:type="dxa"/>
            <w:vAlign w:val="bottom"/>
            <w:gridSpan w:val="2"/>
          </w:tcPr>
          <w:p>
            <w:pPr>
              <w:spacing w:after="0"/>
              <w:rPr>
                <w:sz w:val="20"/>
                <w:szCs w:val="20"/>
                <w:color w:val="auto"/>
              </w:rPr>
            </w:pPr>
            <w:r>
              <w:rPr>
                <w:rFonts w:ascii="Arial" w:cs="Arial" w:eastAsia="Arial" w:hAnsi="Arial"/>
                <w:sz w:val="14"/>
                <w:szCs w:val="14"/>
                <w:color w:val="auto"/>
              </w:rPr>
              <w:t>Energy</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257</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868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346</w:t>
            </w:r>
          </w:p>
        </w:tc>
        <w:tc>
          <w:tcPr>
            <w:tcW w:w="20" w:type="dxa"/>
            <w:vAlign w:val="bottom"/>
            <w:shd w:val="clear" w:color="auto" w:fill="CCEEFF"/>
          </w:tcPr>
          <w:p>
            <w:pPr>
              <w:spacing w:after="0"/>
              <w:rPr>
                <w:sz w:val="15"/>
                <w:szCs w:val="15"/>
                <w:color w:val="auto"/>
              </w:rPr>
            </w:pPr>
          </w:p>
        </w:tc>
      </w:tr>
      <w:tr>
        <w:trPr>
          <w:trHeight w:val="181"/>
        </w:trPr>
        <w:tc>
          <w:tcPr>
            <w:tcW w:w="3180" w:type="dxa"/>
            <w:vAlign w:val="bottom"/>
            <w:gridSpan w:val="2"/>
          </w:tcPr>
          <w:p>
            <w:pPr>
              <w:spacing w:after="0"/>
              <w:rPr>
                <w:sz w:val="20"/>
                <w:szCs w:val="20"/>
                <w:color w:val="auto"/>
              </w:rPr>
            </w:pPr>
            <w:r>
              <w:rPr>
                <w:rFonts w:ascii="Arial" w:cs="Arial" w:eastAsia="Arial" w:hAnsi="Arial"/>
                <w:sz w:val="14"/>
                <w:szCs w:val="14"/>
                <w:color w:val="auto"/>
              </w:rPr>
              <w:t>Construction and land development</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Residential and multifamily real estate</w:t>
            </w: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w:t>
            </w:r>
          </w:p>
        </w:tc>
        <w:tc>
          <w:tcPr>
            <w:tcW w:w="20" w:type="dxa"/>
            <w:vAlign w:val="bottom"/>
            <w:shd w:val="clear" w:color="auto" w:fill="CCEEFF"/>
          </w:tcPr>
          <w:p>
            <w:pPr>
              <w:spacing w:after="0"/>
              <w:rPr>
                <w:sz w:val="15"/>
                <w:szCs w:val="15"/>
                <w:color w:val="auto"/>
              </w:rPr>
            </w:pPr>
          </w:p>
        </w:tc>
      </w:tr>
      <w:tr>
        <w:trPr>
          <w:trHeight w:val="181"/>
        </w:trPr>
        <w:tc>
          <w:tcPr>
            <w:tcW w:w="3180" w:type="dxa"/>
            <w:vAlign w:val="bottom"/>
            <w:gridSpan w:val="2"/>
          </w:tcPr>
          <w:p>
            <w:pPr>
              <w:spacing w:after="0"/>
              <w:rPr>
                <w:sz w:val="20"/>
                <w:szCs w:val="20"/>
                <w:color w:val="auto"/>
              </w:rPr>
            </w:pPr>
            <w:r>
              <w:rPr>
                <w:rFonts w:ascii="Arial" w:cs="Arial" w:eastAsia="Arial" w:hAnsi="Arial"/>
                <w:sz w:val="14"/>
                <w:szCs w:val="14"/>
                <w:color w:val="auto"/>
              </w:rPr>
              <w:t>PPP</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6"/>
        </w:trPr>
        <w:tc>
          <w:tcPr>
            <w:tcW w:w="6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10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8"/>
        </w:trPr>
        <w:tc>
          <w:tcPr>
            <w:tcW w:w="6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Total interest income recognized</w:t>
            </w:r>
          </w:p>
        </w:tc>
        <w:tc>
          <w:tcPr>
            <w:tcW w:w="11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615</w:t>
            </w:r>
          </w:p>
        </w:tc>
        <w:tc>
          <w:tcPr>
            <w:tcW w:w="960" w:type="dxa"/>
            <w:vAlign w:val="bottom"/>
            <w:gridSpan w:val="3"/>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108</w:t>
            </w:r>
          </w:p>
        </w:tc>
        <w:tc>
          <w:tcPr>
            <w:tcW w:w="940" w:type="dxa"/>
            <w:vAlign w:val="bottom"/>
            <w:gridSpan w:val="3"/>
          </w:tcPr>
          <w:p>
            <w:pPr>
              <w:jc w:val="right"/>
              <w:ind w:right="74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1,894</w:t>
            </w:r>
          </w:p>
        </w:tc>
        <w:tc>
          <w:tcPr>
            <w:tcW w:w="62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1,552</w:t>
            </w:r>
          </w:p>
        </w:tc>
        <w:tc>
          <w:tcPr>
            <w:tcW w:w="2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80" w:right="120" w:firstLine="395"/>
        <w:spacing w:after="0" w:line="316" w:lineRule="auto"/>
        <w:rPr>
          <w:sz w:val="20"/>
          <w:szCs w:val="20"/>
          <w:color w:val="auto"/>
        </w:rPr>
      </w:pPr>
      <w:r>
        <w:rPr>
          <w:rFonts w:ascii="Arial" w:cs="Arial" w:eastAsia="Arial" w:hAnsi="Arial"/>
          <w:sz w:val="14"/>
          <w:szCs w:val="14"/>
          <w:color w:val="auto"/>
        </w:rPr>
        <w:t>The table below shows the three- and nine-month average balance of impaired loans for the periods ended September 30, 2021 and 2020 by loan category for impaired loans, including all restructured and formerly restructured loans, held at the end of each period:</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jc w:val="right"/>
              <w:ind w:right="249"/>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gridSpan w:val="2"/>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8"/>
                <w:szCs w:val="18"/>
                <w:color w:val="auto"/>
              </w:rPr>
            </w:pPr>
          </w:p>
        </w:tc>
        <w:tc>
          <w:tcPr>
            <w:tcW w:w="80" w:type="dxa"/>
            <w:vAlign w:val="bottom"/>
            <w:gridSpan w:val="2"/>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8"/>
                <w:szCs w:val="18"/>
                <w:color w:val="auto"/>
              </w:rPr>
            </w:pPr>
          </w:p>
        </w:tc>
      </w:tr>
      <w:tr>
        <w:trPr>
          <w:trHeight w:val="178"/>
        </w:trPr>
        <w:tc>
          <w:tcPr>
            <w:tcW w:w="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gridSpan w:val="4"/>
          </w:tcPr>
          <w:p>
            <w:pPr>
              <w:jc w:val="right"/>
              <w:ind w:right="289"/>
              <w:spacing w:after="0"/>
              <w:rPr>
                <w:sz w:val="20"/>
                <w:szCs w:val="20"/>
                <w:color w:val="auto"/>
              </w:rPr>
            </w:pPr>
            <w:r>
              <w:rPr>
                <w:rFonts w:ascii="Arial" w:cs="Arial" w:eastAsia="Arial" w:hAnsi="Arial"/>
                <w:sz w:val="13"/>
                <w:szCs w:val="13"/>
                <w:i w:val="1"/>
                <w:iCs w:val="1"/>
                <w:color w:val="auto"/>
                <w:w w:val="91"/>
              </w:rPr>
              <w:t>(Dollars in thousands)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
        </w:trPr>
        <w:tc>
          <w:tcPr>
            <w:tcW w:w="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6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11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26,724</w:t>
            </w:r>
          </w:p>
        </w:tc>
        <w:tc>
          <w:tcPr>
            <w:tcW w:w="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45,482</w:t>
            </w:r>
          </w:p>
        </w:tc>
        <w:tc>
          <w:tcPr>
            <w:tcW w:w="940" w:type="dxa"/>
            <w:vAlign w:val="bottom"/>
            <w:gridSpan w:val="3"/>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28,675</w:t>
            </w:r>
          </w:p>
        </w:tc>
        <w:tc>
          <w:tcPr>
            <w:tcW w:w="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49,538</w:t>
            </w:r>
          </w:p>
        </w:tc>
        <w:tc>
          <w:tcPr>
            <w:tcW w:w="20" w:type="dxa"/>
            <w:vAlign w:val="bottom"/>
            <w:shd w:val="clear" w:color="auto" w:fill="CCEEFF"/>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Energy</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26,298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21,396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26,863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23,220</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35,488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17,937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35,856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18,132</w:t>
            </w:r>
          </w:p>
        </w:tc>
        <w:tc>
          <w:tcPr>
            <w:tcW w:w="20" w:type="dxa"/>
            <w:vAlign w:val="bottom"/>
            <w:shd w:val="clear" w:color="auto" w:fill="CCEEFF"/>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Residential and multifamily real estate</w:t>
            </w: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6,021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6,419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5,505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6,304</w:t>
            </w:r>
          </w:p>
        </w:tc>
        <w:tc>
          <w:tcPr>
            <w:tcW w:w="20" w:type="dxa"/>
            <w:vAlign w:val="bottom"/>
            <w:shd w:val="clear" w:color="auto" w:fill="CCEEFF"/>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3120" w:type="dxa"/>
            <w:vAlign w:val="bottom"/>
          </w:tcPr>
          <w:p>
            <w:pPr>
              <w:spacing w:after="0"/>
              <w:rPr>
                <w:sz w:val="20"/>
                <w:szCs w:val="20"/>
                <w:color w:val="auto"/>
              </w:rPr>
            </w:pPr>
            <w:r>
              <w:rPr>
                <w:rFonts w:ascii="Arial" w:cs="Arial" w:eastAsia="Arial" w:hAnsi="Arial"/>
                <w:sz w:val="14"/>
                <w:szCs w:val="14"/>
                <w:color w:val="auto"/>
              </w:rPr>
              <w:t>PPP</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1"/>
        </w:trPr>
        <w:tc>
          <w:tcPr>
            <w:tcW w:w="60" w:type="dxa"/>
            <w:vAlign w:val="bottom"/>
          </w:tcPr>
          <w:p>
            <w:pPr>
              <w:spacing w:after="0"/>
              <w:rPr>
                <w:sz w:val="14"/>
                <w:szCs w:val="14"/>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w:t>
            </w:r>
          </w:p>
        </w:tc>
        <w:tc>
          <w:tcPr>
            <w:tcW w:w="10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238</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248</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240</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253</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93"/>
        </w:trPr>
        <w:tc>
          <w:tcPr>
            <w:tcW w:w="60" w:type="dxa"/>
            <w:vAlign w:val="bottom"/>
          </w:tcPr>
          <w:p>
            <w:pPr>
              <w:spacing w:after="0"/>
              <w:rPr>
                <w:sz w:val="16"/>
                <w:szCs w:val="16"/>
                <w:color w:val="auto"/>
              </w:rPr>
            </w:pPr>
          </w:p>
        </w:tc>
        <w:tc>
          <w:tcPr>
            <w:tcW w:w="3120" w:type="dxa"/>
            <w:vAlign w:val="bottom"/>
          </w:tcPr>
          <w:p>
            <w:pPr>
              <w:ind w:left="40"/>
              <w:spacing w:after="0"/>
              <w:rPr>
                <w:sz w:val="20"/>
                <w:szCs w:val="20"/>
                <w:color w:val="auto"/>
              </w:rPr>
            </w:pPr>
            <w:r>
              <w:rPr>
                <w:rFonts w:ascii="Arial" w:cs="Arial" w:eastAsia="Arial" w:hAnsi="Arial"/>
                <w:sz w:val="14"/>
                <w:szCs w:val="14"/>
                <w:color w:val="auto"/>
              </w:rPr>
              <w:t>Total average impaired loans</w:t>
            </w:r>
          </w:p>
        </w:tc>
        <w:tc>
          <w:tcPr>
            <w:tcW w:w="11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94,769</w:t>
            </w:r>
          </w:p>
        </w:tc>
        <w:tc>
          <w:tcPr>
            <w:tcW w:w="960" w:type="dxa"/>
            <w:vAlign w:val="bottom"/>
            <w:gridSpan w:val="3"/>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91,482</w:t>
            </w:r>
          </w:p>
        </w:tc>
        <w:tc>
          <w:tcPr>
            <w:tcW w:w="940" w:type="dxa"/>
            <w:vAlign w:val="bottom"/>
            <w:gridSpan w:val="3"/>
          </w:tcPr>
          <w:p>
            <w:pPr>
              <w:jc w:val="right"/>
              <w:ind w:right="74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97,139</w:t>
            </w:r>
          </w:p>
        </w:tc>
        <w:tc>
          <w:tcPr>
            <w:tcW w:w="62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97,447</w:t>
            </w:r>
          </w:p>
        </w:tc>
        <w:tc>
          <w:tcPr>
            <w:tcW w:w="2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Non-accrual Loans</w:t>
      </w:r>
    </w:p>
    <w:p>
      <w:pPr>
        <w:spacing w:after="0" w:line="161" w:lineRule="exact"/>
        <w:rPr>
          <w:sz w:val="20"/>
          <w:szCs w:val="20"/>
          <w:color w:val="auto"/>
        </w:rPr>
      </w:pPr>
    </w:p>
    <w:p>
      <w:pPr>
        <w:jc w:val="both"/>
        <w:ind w:left="80" w:right="180" w:firstLine="384"/>
        <w:spacing w:after="0" w:line="309" w:lineRule="auto"/>
        <w:rPr>
          <w:sz w:val="20"/>
          <w:szCs w:val="20"/>
          <w:color w:val="auto"/>
        </w:rPr>
      </w:pPr>
      <w:r>
        <w:rPr>
          <w:rFonts w:ascii="Arial" w:cs="Arial" w:eastAsia="Arial" w:hAnsi="Arial"/>
          <w:sz w:val="14"/>
          <w:szCs w:val="14"/>
          <w:color w:val="auto"/>
        </w:rPr>
        <w:t>Non-accrual loans are loans for which the Company does not record interest income. The accrual of interest on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w:t>
      </w:r>
    </w:p>
    <w:p>
      <w:pPr>
        <w:spacing w:after="0" w:line="200" w:lineRule="exact"/>
        <w:rPr>
          <w:sz w:val="20"/>
          <w:szCs w:val="20"/>
          <w:color w:val="auto"/>
        </w:rPr>
      </w:pPr>
    </w:p>
    <w:p>
      <w:pPr>
        <w:spacing w:after="0" w:line="36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460"/>
          </w:cols>
          <w:pgMar w:left="820" w:top="459" w:right="619" w:bottom="1440" w:gutter="0" w:footer="0" w:header="0"/>
        </w:sectPr>
      </w:pPr>
    </w:p>
    <w:bookmarkStart w:id="27" w:name="page28"/>
    <w:bookmarkEnd w:id="27"/>
    <w:p>
      <w:pPr>
        <w:spacing w:after="0"/>
        <w:tabs>
          <w:tab w:leader="none" w:pos="358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ind w:left="80" w:right="80" w:firstLine="395"/>
        <w:spacing w:after="0" w:line="301" w:lineRule="auto"/>
        <w:rPr>
          <w:sz w:val="20"/>
          <w:szCs w:val="20"/>
          <w:color w:val="auto"/>
        </w:rPr>
      </w:pPr>
      <w:r>
        <w:rPr>
          <w:rFonts w:ascii="Arial" w:cs="Arial" w:eastAsia="Arial" w:hAnsi="Arial"/>
          <w:sz w:val="14"/>
          <w:szCs w:val="14"/>
          <w:color w:val="auto"/>
        </w:rPr>
        <w:t>All interest accrued but not collected for loans that are placed on non-accrual or charged off are reversed against interest income. The interest on these loans is accounted for on the cash basis or cost-recovery method, until qualifying for return to accrual. Loans are returned to accrual status when all the principal and interest amounts contractually due are brought current and future payments are reasonably assured. The following table presents the Company’s non-accrual loans by loan category at September 30, 2021 and December 31, 2020:</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5"/>
                <w:szCs w:val="15"/>
                <w:color w:val="auto"/>
              </w:rPr>
            </w:pPr>
          </w:p>
        </w:tc>
      </w:tr>
      <w:tr>
        <w:trPr>
          <w:trHeight w:val="196"/>
        </w:trPr>
        <w:tc>
          <w:tcPr>
            <w:tcW w:w="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5"/>
          </w:tcPr>
          <w:p>
            <w:pPr>
              <w:jc w:val="right"/>
              <w:ind w:right="1409"/>
              <w:spacing w:after="0"/>
              <w:rPr>
                <w:sz w:val="20"/>
                <w:szCs w:val="20"/>
                <w:color w:val="auto"/>
              </w:rPr>
            </w:pPr>
            <w:r>
              <w:rPr>
                <w:rFonts w:ascii="Arial" w:cs="Arial" w:eastAsia="Arial" w:hAnsi="Arial"/>
                <w:sz w:val="13"/>
                <w:szCs w:val="13"/>
                <w:i w:val="1"/>
                <w:iCs w:val="1"/>
                <w:color w:val="auto"/>
              </w:rPr>
              <w:t>(Dollars in thousands)</w:t>
            </w:r>
          </w:p>
        </w:tc>
        <w:tc>
          <w:tcPr>
            <w:tcW w:w="20" w:type="dxa"/>
            <w:vAlign w:val="bottom"/>
          </w:tcPr>
          <w:p>
            <w:pPr>
              <w:spacing w:after="0"/>
              <w:rPr>
                <w:sz w:val="17"/>
                <w:szCs w:val="17"/>
                <w:color w:val="auto"/>
              </w:rPr>
            </w:pPr>
          </w:p>
        </w:tc>
      </w:tr>
      <w:tr>
        <w:trPr>
          <w:trHeight w:val="189"/>
        </w:trPr>
        <w:tc>
          <w:tcPr>
            <w:tcW w:w="60" w:type="dxa"/>
            <w:vAlign w:val="bottom"/>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6,455</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26,691</w:t>
            </w:r>
          </w:p>
        </w:tc>
        <w:tc>
          <w:tcPr>
            <w:tcW w:w="20" w:type="dxa"/>
            <w:vAlign w:val="bottom"/>
            <w:shd w:val="clear" w:color="auto" w:fill="CCEEFF"/>
          </w:tcPr>
          <w:p>
            <w:pPr>
              <w:spacing w:after="0"/>
              <w:rPr>
                <w:sz w:val="16"/>
                <w:szCs w:val="16"/>
                <w:color w:val="auto"/>
              </w:rPr>
            </w:pPr>
          </w:p>
        </w:tc>
      </w:tr>
      <w:tr>
        <w:trPr>
          <w:trHeight w:val="181"/>
        </w:trPr>
        <w:tc>
          <w:tcPr>
            <w:tcW w:w="4260" w:type="dxa"/>
            <w:vAlign w:val="bottom"/>
            <w:gridSpan w:val="2"/>
          </w:tcPr>
          <w:p>
            <w:pPr>
              <w:spacing w:after="0"/>
              <w:rPr>
                <w:sz w:val="20"/>
                <w:szCs w:val="20"/>
                <w:color w:val="auto"/>
              </w:rPr>
            </w:pPr>
            <w:r>
              <w:rPr>
                <w:rFonts w:ascii="Arial" w:cs="Arial" w:eastAsia="Arial" w:hAnsi="Arial"/>
                <w:sz w:val="14"/>
                <w:szCs w:val="14"/>
                <w:color w:val="auto"/>
              </w:rPr>
              <w:t>Energy</w:t>
            </w: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25,432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25,927</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2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10,265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19,088</w:t>
            </w:r>
          </w:p>
        </w:tc>
        <w:tc>
          <w:tcPr>
            <w:tcW w:w="20" w:type="dxa"/>
            <w:vAlign w:val="bottom"/>
            <w:shd w:val="clear" w:color="auto" w:fill="CCEEFF"/>
          </w:tcPr>
          <w:p>
            <w:pPr>
              <w:spacing w:after="0"/>
              <w:rPr>
                <w:sz w:val="15"/>
                <w:szCs w:val="15"/>
                <w:color w:val="auto"/>
              </w:rPr>
            </w:pPr>
          </w:p>
        </w:tc>
      </w:tr>
      <w:tr>
        <w:trPr>
          <w:trHeight w:val="181"/>
        </w:trPr>
        <w:tc>
          <w:tcPr>
            <w:tcW w:w="4260" w:type="dxa"/>
            <w:vAlign w:val="bottom"/>
            <w:gridSpan w:val="2"/>
          </w:tcPr>
          <w:p>
            <w:pPr>
              <w:spacing w:after="0"/>
              <w:rPr>
                <w:sz w:val="20"/>
                <w:szCs w:val="20"/>
                <w:color w:val="auto"/>
              </w:rPr>
            </w:pPr>
            <w:r>
              <w:rPr>
                <w:rFonts w:ascii="Arial" w:cs="Arial" w:eastAsia="Arial" w:hAnsi="Arial"/>
                <w:sz w:val="14"/>
                <w:szCs w:val="14"/>
                <w:color w:val="auto"/>
              </w:rPr>
              <w:t>Construction and land development</w:t>
            </w: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Residential and multifamily real estate</w:t>
            </w:r>
          </w:p>
        </w:tc>
        <w:tc>
          <w:tcPr>
            <w:tcW w:w="2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5,759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3,101</w:t>
            </w:r>
          </w:p>
        </w:tc>
        <w:tc>
          <w:tcPr>
            <w:tcW w:w="20" w:type="dxa"/>
            <w:vAlign w:val="bottom"/>
            <w:shd w:val="clear" w:color="auto" w:fill="CCEEFF"/>
          </w:tcPr>
          <w:p>
            <w:pPr>
              <w:spacing w:after="0"/>
              <w:rPr>
                <w:sz w:val="15"/>
                <w:szCs w:val="15"/>
                <w:color w:val="auto"/>
              </w:rPr>
            </w:pPr>
          </w:p>
        </w:tc>
      </w:tr>
      <w:tr>
        <w:trPr>
          <w:trHeight w:val="181"/>
        </w:trPr>
        <w:tc>
          <w:tcPr>
            <w:tcW w:w="4260" w:type="dxa"/>
            <w:vAlign w:val="bottom"/>
            <w:gridSpan w:val="2"/>
          </w:tcPr>
          <w:p>
            <w:pPr>
              <w:spacing w:after="0"/>
              <w:rPr>
                <w:sz w:val="20"/>
                <w:szCs w:val="20"/>
                <w:color w:val="auto"/>
              </w:rPr>
            </w:pPr>
            <w:r>
              <w:rPr>
                <w:rFonts w:ascii="Arial" w:cs="Arial" w:eastAsia="Arial" w:hAnsi="Arial"/>
                <w:sz w:val="14"/>
                <w:szCs w:val="14"/>
                <w:color w:val="auto"/>
              </w:rPr>
              <w:t>PPP</w:t>
            </w: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20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244</w:t>
            </w:r>
          </w:p>
        </w:tc>
        <w:tc>
          <w:tcPr>
            <w:tcW w:w="20" w:type="dxa"/>
            <w:vAlign w:val="bottom"/>
            <w:shd w:val="clear" w:color="auto" w:fill="CCEEFF"/>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4200" w:type="dxa"/>
            <w:vAlign w:val="bottom"/>
          </w:tcPr>
          <w:p>
            <w:pPr>
              <w:ind w:left="40"/>
              <w:spacing w:after="0"/>
              <w:rPr>
                <w:sz w:val="20"/>
                <w:szCs w:val="20"/>
                <w:color w:val="auto"/>
              </w:rPr>
            </w:pPr>
            <w:r>
              <w:rPr>
                <w:rFonts w:ascii="Arial" w:cs="Arial" w:eastAsia="Arial" w:hAnsi="Arial"/>
                <w:sz w:val="14"/>
                <w:szCs w:val="14"/>
                <w:color w:val="auto"/>
              </w:rPr>
              <w:t>Total non-accrual loans</w:t>
            </w:r>
          </w:p>
        </w:tc>
        <w:tc>
          <w:tcPr>
            <w:tcW w:w="2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48,147</w:t>
            </w: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75,051</w:t>
            </w:r>
          </w:p>
        </w:tc>
        <w:tc>
          <w:tcPr>
            <w:tcW w:w="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Troubled Debt Restructurings</w:t>
      </w:r>
    </w:p>
    <w:p>
      <w:pPr>
        <w:spacing w:after="0" w:line="161" w:lineRule="exact"/>
        <w:rPr>
          <w:sz w:val="20"/>
          <w:szCs w:val="20"/>
          <w:color w:val="auto"/>
        </w:rPr>
      </w:pPr>
    </w:p>
    <w:p>
      <w:pPr>
        <w:ind w:left="80" w:right="40" w:firstLine="384"/>
        <w:spacing w:after="0" w:line="309" w:lineRule="auto"/>
        <w:rPr>
          <w:sz w:val="20"/>
          <w:szCs w:val="20"/>
          <w:color w:val="auto"/>
        </w:rPr>
      </w:pPr>
      <w:r>
        <w:rPr>
          <w:rFonts w:ascii="Arial" w:cs="Arial" w:eastAsia="Arial" w:hAnsi="Arial"/>
          <w:sz w:val="14"/>
          <w:szCs w:val="14"/>
          <w:color w:val="auto"/>
        </w:rPr>
        <w:t>Restructured loans are those extended to borrowers who are experiencing financial difficulty and who have been granted a concession, excluding loan modifications as a result of the COVID-19 pandemic. The modification of terms typically includes the extension of maturity, reduction or deferment of monthly payment, or reduction of the stated interest rate.</w:t>
      </w:r>
    </w:p>
    <w:p>
      <w:pPr>
        <w:spacing w:after="0" w:line="93" w:lineRule="exact"/>
        <w:rPr>
          <w:sz w:val="20"/>
          <w:szCs w:val="20"/>
          <w:color w:val="auto"/>
        </w:rPr>
      </w:pPr>
    </w:p>
    <w:p>
      <w:pPr>
        <w:ind w:left="80" w:right="340" w:firstLine="384"/>
        <w:spacing w:after="0" w:line="332" w:lineRule="auto"/>
        <w:rPr>
          <w:sz w:val="20"/>
          <w:szCs w:val="20"/>
          <w:color w:val="auto"/>
        </w:rPr>
      </w:pPr>
      <w:r>
        <w:rPr>
          <w:rFonts w:ascii="Arial" w:cs="Arial" w:eastAsia="Arial" w:hAnsi="Arial"/>
          <w:sz w:val="14"/>
          <w:szCs w:val="14"/>
          <w:color w:val="auto"/>
        </w:rPr>
        <w:t>For the three- and nine-month periods ended September 30, 2021 and 2020, the modifications related to the TDRs below did not impact the ALLL because the loans were previously impaired and evaluated on an individual basis or enough collateral was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460"/>
          </w:cols>
          <w:pgMar w:left="820" w:top="459" w:right="619" w:bottom="1440" w:gutter="0" w:footer="0" w:header="0"/>
        </w:sectPr>
      </w:pPr>
    </w:p>
    <w:bookmarkStart w:id="28" w:name="page29"/>
    <w:bookmarkEnd w:id="28"/>
    <w:p>
      <w:pPr>
        <w:spacing w:after="0"/>
        <w:tabs>
          <w:tab w:leader="none" w:pos="358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table below presents loans restructured, excluding loans restructured as a result of the COVID-19 pandemic, during the three- and nine-month periods ended</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September 30, 2021 and 2020, including the post-modification outstanding balance and the type of concession made:</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jc w:val="right"/>
              <w:ind w:right="249"/>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1"/>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gridSpan w:val="2"/>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gridSpan w:val="4"/>
          </w:tcPr>
          <w:p>
            <w:pPr>
              <w:jc w:val="right"/>
              <w:ind w:right="289"/>
              <w:spacing w:after="0"/>
              <w:rPr>
                <w:sz w:val="20"/>
                <w:szCs w:val="20"/>
                <w:color w:val="auto"/>
              </w:rPr>
            </w:pPr>
            <w:r>
              <w:rPr>
                <w:rFonts w:ascii="Arial" w:cs="Arial" w:eastAsia="Arial" w:hAnsi="Arial"/>
                <w:sz w:val="13"/>
                <w:szCs w:val="13"/>
                <w:i w:val="1"/>
                <w:iCs w:val="1"/>
                <w:color w:val="auto"/>
                <w:w w:val="91"/>
              </w:rPr>
              <w:t>(Dollars in thousands)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60" w:type="dxa"/>
            <w:vAlign w:val="bottom"/>
          </w:tcPr>
          <w:p>
            <w:pPr>
              <w:spacing w:after="0"/>
              <w:rPr>
                <w:sz w:val="16"/>
                <w:szCs w:val="16"/>
                <w:color w:val="auto"/>
              </w:rPr>
            </w:pPr>
          </w:p>
        </w:tc>
        <w:tc>
          <w:tcPr>
            <w:tcW w:w="3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Commercial</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1"/>
        </w:trPr>
        <w:tc>
          <w:tcPr>
            <w:tcW w:w="60" w:type="dxa"/>
            <w:vAlign w:val="bottom"/>
          </w:tcPr>
          <w:p>
            <w:pPr>
              <w:spacing w:after="0"/>
              <w:rPr>
                <w:sz w:val="15"/>
                <w:szCs w:val="15"/>
                <w:color w:val="auto"/>
              </w:rPr>
            </w:pPr>
          </w:p>
        </w:tc>
        <w:tc>
          <w:tcPr>
            <w:tcW w:w="3160" w:type="dxa"/>
            <w:vAlign w:val="bottom"/>
            <w:gridSpan w:val="2"/>
          </w:tcPr>
          <w:p>
            <w:pPr>
              <w:ind w:left="140"/>
              <w:spacing w:after="0"/>
              <w:rPr>
                <w:sz w:val="20"/>
                <w:szCs w:val="20"/>
                <w:color w:val="auto"/>
              </w:rPr>
            </w:pPr>
            <w:r>
              <w:rPr>
                <w:rFonts w:ascii="Arial" w:cs="Arial" w:eastAsia="Arial" w:hAnsi="Arial"/>
                <w:sz w:val="14"/>
                <w:szCs w:val="14"/>
                <w:color w:val="auto"/>
              </w:rPr>
              <w:t>- Interest rate reduction</w:t>
            </w:r>
          </w:p>
        </w:tc>
        <w:tc>
          <w:tcPr>
            <w:tcW w:w="11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960" w:type="dxa"/>
            <w:vAlign w:val="bottom"/>
            <w:gridSpan w:val="3"/>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74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1,000</w:t>
            </w:r>
          </w:p>
        </w:tc>
        <w:tc>
          <w:tcPr>
            <w:tcW w:w="62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3,171</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3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Energy</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3160" w:type="dxa"/>
            <w:vAlign w:val="bottom"/>
            <w:gridSpan w:val="2"/>
          </w:tcPr>
          <w:p>
            <w:pPr>
              <w:ind w:left="140"/>
              <w:spacing w:after="0"/>
              <w:rPr>
                <w:sz w:val="20"/>
                <w:szCs w:val="20"/>
                <w:color w:val="auto"/>
              </w:rPr>
            </w:pPr>
            <w:r>
              <w:rPr>
                <w:rFonts w:ascii="Arial" w:cs="Arial" w:eastAsia="Arial" w:hAnsi="Arial"/>
                <w:sz w:val="14"/>
                <w:szCs w:val="14"/>
                <w:color w:val="auto"/>
              </w:rPr>
              <w:t>- Extension of maturity date</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2,340</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3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Residential and multifamily real estate</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3160" w:type="dxa"/>
            <w:vAlign w:val="bottom"/>
            <w:gridSpan w:val="2"/>
          </w:tcPr>
          <w:p>
            <w:pPr>
              <w:ind w:left="140"/>
              <w:spacing w:after="0"/>
              <w:rPr>
                <w:sz w:val="20"/>
                <w:szCs w:val="20"/>
                <w:color w:val="auto"/>
              </w:rPr>
            </w:pPr>
            <w:r>
              <w:rPr>
                <w:rFonts w:ascii="Arial" w:cs="Arial" w:eastAsia="Arial" w:hAnsi="Arial"/>
                <w:sz w:val="14"/>
                <w:szCs w:val="14"/>
                <w:color w:val="auto"/>
              </w:rPr>
              <w:t>- Interest rate reduction</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3,750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3,750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6"/>
        </w:trPr>
        <w:tc>
          <w:tcPr>
            <w:tcW w:w="60" w:type="dxa"/>
            <w:vAlign w:val="bottom"/>
          </w:tcPr>
          <w:p>
            <w:pPr>
              <w:spacing w:after="0"/>
              <w:rPr>
                <w:sz w:val="15"/>
                <w:szCs w:val="15"/>
                <w:color w:val="auto"/>
              </w:rPr>
            </w:pPr>
          </w:p>
        </w:tc>
        <w:tc>
          <w:tcPr>
            <w:tcW w:w="180" w:type="dxa"/>
            <w:vAlign w:val="bottom"/>
            <w:shd w:val="clear" w:color="auto" w:fill="CCEEFF"/>
          </w:tcPr>
          <w:p>
            <w:pPr>
              <w:ind w:left="140"/>
              <w:spacing w:after="0"/>
              <w:rPr>
                <w:sz w:val="20"/>
                <w:szCs w:val="20"/>
                <w:color w:val="auto"/>
              </w:rPr>
            </w:pPr>
            <w:r>
              <w:rPr>
                <w:rFonts w:ascii="Arial" w:cs="Arial" w:eastAsia="Arial" w:hAnsi="Arial"/>
                <w:sz w:val="8"/>
                <w:szCs w:val="8"/>
                <w:color w:val="auto"/>
                <w:w w:val="73"/>
              </w:rPr>
              <w:t>-</w:t>
            </w:r>
          </w:p>
        </w:tc>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deferral</w:t>
            </w:r>
          </w:p>
        </w:tc>
        <w:tc>
          <w:tcPr>
            <w:tcW w:w="9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w:t>
            </w:r>
          </w:p>
        </w:tc>
        <w:tc>
          <w:tcPr>
            <w:tcW w:w="20" w:type="dxa"/>
            <w:vAlign w:val="bottom"/>
            <w:shd w:val="clear" w:color="auto" w:fill="CCEEFF"/>
          </w:tcPr>
          <w:p>
            <w:pPr>
              <w:spacing w:after="0"/>
              <w:rPr>
                <w:sz w:val="15"/>
                <w:szCs w:val="15"/>
                <w:color w:val="auto"/>
              </w:rPr>
            </w:pPr>
          </w:p>
        </w:tc>
      </w:tr>
      <w:tr>
        <w:trPr>
          <w:trHeight w:val="188"/>
        </w:trPr>
        <w:tc>
          <w:tcPr>
            <w:tcW w:w="3220" w:type="dxa"/>
            <w:vAlign w:val="bottom"/>
            <w:gridSpan w:val="3"/>
          </w:tcPr>
          <w:p>
            <w:pPr>
              <w:spacing w:after="0"/>
              <w:rPr>
                <w:sz w:val="20"/>
                <w:szCs w:val="20"/>
                <w:color w:val="auto"/>
              </w:rPr>
            </w:pPr>
            <w:r>
              <w:rPr>
                <w:rFonts w:ascii="Arial" w:cs="Arial" w:eastAsia="Arial" w:hAnsi="Arial"/>
                <w:sz w:val="14"/>
                <w:szCs w:val="14"/>
                <w:color w:val="auto"/>
              </w:rPr>
              <w:t>Total troubled debt restructurings</w:t>
            </w:r>
          </w:p>
        </w:tc>
        <w:tc>
          <w:tcPr>
            <w:tcW w:w="11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4,750</w:t>
            </w:r>
          </w:p>
        </w:tc>
        <w:tc>
          <w:tcPr>
            <w:tcW w:w="960" w:type="dxa"/>
            <w:vAlign w:val="bottom"/>
            <w:gridSpan w:val="3"/>
          </w:tcPr>
          <w:p>
            <w:pPr>
              <w:jc w:val="right"/>
              <w:ind w:right="78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74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4,750</w:t>
            </w:r>
          </w:p>
        </w:tc>
        <w:tc>
          <w:tcPr>
            <w:tcW w:w="62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5,576</w:t>
            </w:r>
          </w:p>
        </w:tc>
        <w:tc>
          <w:tcPr>
            <w:tcW w:w="2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balance of restructured loans, excluding loans restructured as a result of the COVID-19 pandemic, is provided below as of September 30, 2021 and December 31, 2020.</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14"/>
          <w:szCs w:val="14"/>
          <w:color w:val="auto"/>
        </w:rPr>
        <w:t>In addition, the balance of those loans that are in default at any time during the past twelve months at September 30, 2021 and December 31, 2020 is provided below:</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1149"/>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1149"/>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6"/>
                <w:szCs w:val="16"/>
                <w:color w:val="auto"/>
              </w:rPr>
            </w:pPr>
          </w:p>
        </w:tc>
      </w:tr>
      <w:tr>
        <w:trPr>
          <w:trHeight w:val="248"/>
        </w:trPr>
        <w:tc>
          <w:tcPr>
            <w:tcW w:w="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0" w:type="dxa"/>
            <w:vAlign w:val="bottom"/>
            <w:gridSpan w:val="3"/>
          </w:tcPr>
          <w:p>
            <w:pPr>
              <w:jc w:val="center"/>
              <w:ind w:right="9"/>
              <w:spacing w:after="0"/>
              <w:rPr>
                <w:sz w:val="20"/>
                <w:szCs w:val="20"/>
                <w:color w:val="auto"/>
              </w:rPr>
            </w:pPr>
            <w:r>
              <w:rPr>
                <w:rFonts w:ascii="Arial" w:cs="Arial" w:eastAsia="Arial" w:hAnsi="Arial"/>
                <w:sz w:val="14"/>
                <w:szCs w:val="14"/>
                <w:b w:val="1"/>
                <w:bCs w:val="1"/>
                <w:color w:val="auto"/>
                <w:w w:val="89"/>
              </w:rPr>
              <w:t>Balance 90 days past due at any</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w w:val="91"/>
              </w:rPr>
              <w:t>Balance 90 days past due at any</w:t>
            </w:r>
          </w:p>
        </w:tc>
        <w:tc>
          <w:tcPr>
            <w:tcW w:w="20" w:type="dxa"/>
            <w:vAlign w:val="bottom"/>
          </w:tcPr>
          <w:p>
            <w:pPr>
              <w:spacing w:after="0"/>
              <w:rPr>
                <w:sz w:val="21"/>
                <w:szCs w:val="21"/>
                <w:color w:val="auto"/>
              </w:rPr>
            </w:pPr>
          </w:p>
        </w:tc>
      </w:tr>
      <w:tr>
        <w:trPr>
          <w:trHeight w:val="160"/>
        </w:trPr>
        <w:tc>
          <w:tcPr>
            <w:tcW w:w="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040" w:type="dxa"/>
            <w:vAlign w:val="bottom"/>
            <w:gridSpan w:val="6"/>
          </w:tcPr>
          <w:p>
            <w:pPr>
              <w:jc w:val="right"/>
              <w:spacing w:after="0"/>
              <w:rPr>
                <w:sz w:val="20"/>
                <w:szCs w:val="20"/>
                <w:color w:val="auto"/>
              </w:rPr>
            </w:pPr>
            <w:r>
              <w:rPr>
                <w:rFonts w:ascii="Arial" w:cs="Arial" w:eastAsia="Arial" w:hAnsi="Arial"/>
                <w:sz w:val="14"/>
                <w:szCs w:val="14"/>
                <w:b w:val="1"/>
                <w:bCs w:val="1"/>
                <w:color w:val="auto"/>
              </w:rPr>
              <w:t>Number of Outstanding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ind w:right="149"/>
              <w:spacing w:after="0"/>
              <w:rPr>
                <w:sz w:val="20"/>
                <w:szCs w:val="20"/>
                <w:color w:val="auto"/>
              </w:rPr>
            </w:pPr>
            <w:r>
              <w:rPr>
                <w:rFonts w:ascii="Arial" w:cs="Arial" w:eastAsia="Arial" w:hAnsi="Arial"/>
                <w:sz w:val="14"/>
                <w:szCs w:val="14"/>
                <w:b w:val="1"/>
                <w:bCs w:val="1"/>
                <w:color w:val="auto"/>
                <w:w w:val="92"/>
              </w:rPr>
              <w:t>time during previous 12</w:t>
            </w:r>
          </w:p>
        </w:tc>
        <w:tc>
          <w:tcPr>
            <w:tcW w:w="1560" w:type="dxa"/>
            <w:vAlign w:val="bottom"/>
            <w:gridSpan w:val="5"/>
          </w:tcPr>
          <w:p>
            <w:pPr>
              <w:jc w:val="center"/>
              <w:ind w:right="9"/>
              <w:spacing w:after="0"/>
              <w:rPr>
                <w:sz w:val="20"/>
                <w:szCs w:val="20"/>
                <w:color w:val="auto"/>
              </w:rPr>
            </w:pPr>
            <w:r>
              <w:rPr>
                <w:rFonts w:ascii="Arial" w:cs="Arial" w:eastAsia="Arial" w:hAnsi="Arial"/>
                <w:sz w:val="14"/>
                <w:szCs w:val="14"/>
                <w:b w:val="1"/>
                <w:bCs w:val="1"/>
                <w:color w:val="auto"/>
                <w:w w:val="94"/>
              </w:rPr>
              <w:t>Number of Outstanding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right"/>
              <w:ind w:right="229"/>
              <w:spacing w:after="0"/>
              <w:rPr>
                <w:sz w:val="20"/>
                <w:szCs w:val="20"/>
                <w:color w:val="auto"/>
              </w:rPr>
            </w:pPr>
            <w:r>
              <w:rPr>
                <w:rFonts w:ascii="Arial" w:cs="Arial" w:eastAsia="Arial" w:hAnsi="Arial"/>
                <w:sz w:val="14"/>
                <w:szCs w:val="14"/>
                <w:b w:val="1"/>
                <w:bCs w:val="1"/>
                <w:color w:val="auto"/>
                <w:w w:val="97"/>
              </w:rPr>
              <w:t>time during previous 12</w:t>
            </w:r>
          </w:p>
        </w:tc>
        <w:tc>
          <w:tcPr>
            <w:tcW w:w="20" w:type="dxa"/>
            <w:vAlign w:val="bottom"/>
          </w:tcPr>
          <w:p>
            <w:pPr>
              <w:spacing w:after="0"/>
              <w:rPr>
                <w:sz w:val="13"/>
                <w:szCs w:val="13"/>
                <w:color w:val="auto"/>
              </w:rPr>
            </w:pPr>
          </w:p>
        </w:tc>
      </w:tr>
      <w:tr>
        <w:trPr>
          <w:trHeight w:val="175"/>
        </w:trPr>
        <w:tc>
          <w:tcPr>
            <w:tcW w:w="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Loans</w:t>
            </w:r>
          </w:p>
        </w:tc>
        <w:tc>
          <w:tcPr>
            <w:tcW w:w="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6"/>
              </w:rPr>
              <w:t>Balance</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129"/>
              <w:spacing w:after="0" w:line="175" w:lineRule="exact"/>
              <w:rPr>
                <w:sz w:val="20"/>
                <w:szCs w:val="20"/>
                <w:color w:val="auto"/>
              </w:rPr>
            </w:pPr>
            <w:r>
              <w:rPr>
                <w:rFonts w:ascii="Arial" w:cs="Arial" w:eastAsia="Arial" w:hAnsi="Arial"/>
                <w:sz w:val="14"/>
                <w:szCs w:val="14"/>
                <w:b w:val="1"/>
                <w:bCs w:val="1"/>
                <w:color w:val="auto"/>
                <w:w w:val="85"/>
              </w:rPr>
              <w:t>months</w:t>
            </w:r>
            <w:r>
              <w:rPr>
                <w:rFonts w:ascii="Arial" w:cs="Arial" w:eastAsia="Arial" w:hAnsi="Arial"/>
                <w:sz w:val="18"/>
                <w:szCs w:val="18"/>
                <w:b w:val="1"/>
                <w:bCs w:val="1"/>
                <w:color w:val="auto"/>
                <w:w w:val="85"/>
                <w:vertAlign w:val="superscript"/>
              </w:rPr>
              <w:t>(1)</w:t>
            </w:r>
          </w:p>
        </w:tc>
        <w:tc>
          <w:tcPr>
            <w:tcW w:w="20" w:type="dxa"/>
            <w:vAlign w:val="bottom"/>
          </w:tcPr>
          <w:p>
            <w:pPr>
              <w:spacing w:after="0"/>
              <w:rPr>
                <w:sz w:val="15"/>
                <w:szCs w:val="15"/>
                <w:color w:val="auto"/>
              </w:rPr>
            </w:pPr>
          </w:p>
        </w:tc>
        <w:tc>
          <w:tcPr>
            <w:tcW w:w="7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2"/>
              </w:rPr>
              <w:t>Loans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85"/>
              </w:rPr>
              <w:t>Balance</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669"/>
              <w:spacing w:after="0" w:line="175" w:lineRule="exact"/>
              <w:rPr>
                <w:sz w:val="20"/>
                <w:szCs w:val="20"/>
                <w:color w:val="auto"/>
              </w:rPr>
            </w:pPr>
            <w:r>
              <w:rPr>
                <w:rFonts w:ascii="Arial" w:cs="Arial" w:eastAsia="Arial" w:hAnsi="Arial"/>
                <w:sz w:val="14"/>
                <w:szCs w:val="14"/>
                <w:b w:val="1"/>
                <w:bCs w:val="1"/>
                <w:color w:val="auto"/>
              </w:rPr>
              <w:t>months</w:t>
            </w:r>
            <w:r>
              <w:rPr>
                <w:rFonts w:ascii="Arial" w:cs="Arial" w:eastAsia="Arial" w:hAnsi="Arial"/>
                <w:sz w:val="18"/>
                <w:szCs w:val="18"/>
                <w:b w:val="1"/>
                <w:bCs w:val="1"/>
                <w:color w:val="auto"/>
                <w:vertAlign w:val="superscript"/>
              </w:rPr>
              <w:t>(1)</w:t>
            </w:r>
          </w:p>
        </w:tc>
        <w:tc>
          <w:tcPr>
            <w:tcW w:w="20" w:type="dxa"/>
            <w:vAlign w:val="bottom"/>
          </w:tcPr>
          <w:p>
            <w:pPr>
              <w:spacing w:after="0"/>
              <w:rPr>
                <w:sz w:val="15"/>
                <w:szCs w:val="15"/>
                <w:color w:val="auto"/>
              </w:rPr>
            </w:pPr>
          </w:p>
        </w:tc>
      </w:tr>
      <w:tr>
        <w:trPr>
          <w:trHeight w:val="159"/>
        </w:trPr>
        <w:tc>
          <w:tcPr>
            <w:tcW w:w="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3"/>
          </w:tcPr>
          <w:p>
            <w:pPr>
              <w:ind w:left="1260"/>
              <w:spacing w:after="0"/>
              <w:rPr>
                <w:sz w:val="20"/>
                <w:szCs w:val="20"/>
                <w:color w:val="auto"/>
              </w:rPr>
            </w:pPr>
            <w:r>
              <w:rPr>
                <w:rFonts w:ascii="Arial" w:cs="Arial" w:eastAsia="Arial" w:hAnsi="Arial"/>
                <w:sz w:val="13"/>
                <w:szCs w:val="13"/>
                <w:i w:val="1"/>
                <w:iCs w:val="1"/>
                <w:color w:val="auto"/>
              </w:rPr>
              <w:t>(Dollars in thousands)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6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1140" w:type="dxa"/>
            <w:vAlign w:val="bottom"/>
            <w:gridSpan w:val="3"/>
            <w:shd w:val="clear" w:color="auto" w:fill="CCEEFF"/>
          </w:tcPr>
          <w:p>
            <w:pPr>
              <w:jc w:val="center"/>
              <w:ind w:left="509"/>
              <w:spacing w:after="0"/>
              <w:rPr>
                <w:sz w:val="20"/>
                <w:szCs w:val="20"/>
                <w:color w:val="auto"/>
              </w:rPr>
            </w:pPr>
            <w:r>
              <w:rPr>
                <w:rFonts w:ascii="Arial" w:cs="Arial" w:eastAsia="Arial" w:hAnsi="Arial"/>
                <w:sz w:val="14"/>
                <w:szCs w:val="14"/>
                <w:color w:val="auto"/>
              </w:rPr>
              <w:t>4</w:t>
            </w:r>
          </w:p>
        </w:tc>
        <w:tc>
          <w:tcPr>
            <w:tcW w:w="200" w:type="dxa"/>
            <w:vAlign w:val="bottom"/>
            <w:tcBorders>
              <w:right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19,395</w:t>
            </w: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4,899</w:t>
            </w:r>
          </w:p>
        </w:tc>
        <w:tc>
          <w:tcPr>
            <w:tcW w:w="720" w:type="dxa"/>
            <w:vAlign w:val="bottom"/>
            <w:tcBorders>
              <w:right w:val="single" w:sz="8" w:color="CCEEFF"/>
            </w:tcBorders>
            <w:gridSpan w:val="2"/>
            <w:shd w:val="clear" w:color="auto" w:fill="CCEEFF"/>
          </w:tcPr>
          <w:p>
            <w:pPr>
              <w:jc w:val="center"/>
              <w:ind w:right="9"/>
              <w:spacing w:after="0"/>
              <w:rPr>
                <w:sz w:val="20"/>
                <w:szCs w:val="20"/>
                <w:color w:val="auto"/>
              </w:rPr>
            </w:pPr>
            <w:r>
              <w:rPr>
                <w:rFonts w:ascii="Arial" w:cs="Arial" w:eastAsia="Arial" w:hAnsi="Arial"/>
                <w:sz w:val="14"/>
                <w:szCs w:val="14"/>
                <w:color w:val="auto"/>
              </w:rPr>
              <w:t>7</w:t>
            </w:r>
          </w:p>
        </w:tc>
        <w:tc>
          <w:tcPr>
            <w:tcW w:w="1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22,759</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2,776</w:t>
            </w:r>
          </w:p>
        </w:tc>
        <w:tc>
          <w:tcPr>
            <w:tcW w:w="20" w:type="dxa"/>
            <w:vAlign w:val="bottom"/>
            <w:shd w:val="clear" w:color="auto" w:fill="CCEEFF"/>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4"/>
                <w:szCs w:val="14"/>
                <w:color w:val="auto"/>
              </w:rPr>
              <w:t>Energy</w:t>
            </w:r>
          </w:p>
        </w:tc>
        <w:tc>
          <w:tcPr>
            <w:tcW w:w="1140" w:type="dxa"/>
            <w:vAlign w:val="bottom"/>
            <w:gridSpan w:val="3"/>
          </w:tcPr>
          <w:p>
            <w:pPr>
              <w:jc w:val="center"/>
              <w:ind w:left="50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10,401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right"/>
              <w:ind w:right="29"/>
              <w:spacing w:after="0"/>
              <w:rPr>
                <w:sz w:val="20"/>
                <w:szCs w:val="20"/>
                <w:color w:val="auto"/>
              </w:rPr>
            </w:pPr>
            <w:r>
              <w:rPr>
                <w:rFonts w:ascii="Arial" w:cs="Arial" w:eastAsia="Arial" w:hAnsi="Arial"/>
                <w:sz w:val="14"/>
                <w:szCs w:val="14"/>
                <w:color w:val="auto"/>
              </w:rPr>
              <w:t>7,825</w:t>
            </w:r>
          </w:p>
        </w:tc>
        <w:tc>
          <w:tcPr>
            <w:tcW w:w="720" w:type="dxa"/>
            <w:vAlign w:val="bottom"/>
            <w:gridSpan w:val="2"/>
          </w:tcPr>
          <w:p>
            <w:pPr>
              <w:jc w:val="center"/>
              <w:ind w:right="9"/>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11,053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2,713</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1140" w:type="dxa"/>
            <w:vAlign w:val="bottom"/>
            <w:gridSpan w:val="3"/>
            <w:shd w:val="clear" w:color="auto" w:fill="CCEEFF"/>
          </w:tcPr>
          <w:p>
            <w:pPr>
              <w:jc w:val="center"/>
              <w:ind w:left="509"/>
              <w:spacing w:after="0"/>
              <w:rPr>
                <w:sz w:val="20"/>
                <w:szCs w:val="20"/>
                <w:color w:val="auto"/>
              </w:rPr>
            </w:pPr>
            <w:r>
              <w:rPr>
                <w:rFonts w:ascii="Arial" w:cs="Arial" w:eastAsia="Arial" w:hAnsi="Arial"/>
                <w:sz w:val="14"/>
                <w:szCs w:val="14"/>
                <w:color w:val="auto"/>
              </w:rPr>
              <w:t>4</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25,762</w:t>
            </w:r>
          </w:p>
        </w:tc>
        <w:tc>
          <w:tcPr>
            <w:tcW w:w="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center"/>
              <w:ind w:right="9"/>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26,038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1140" w:type="dxa"/>
            <w:vAlign w:val="bottom"/>
            <w:gridSpan w:val="3"/>
          </w:tcPr>
          <w:p>
            <w:pPr>
              <w:jc w:val="center"/>
              <w:ind w:left="509"/>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right="9"/>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Residential and multifamily real estate</w:t>
            </w:r>
          </w:p>
        </w:tc>
        <w:tc>
          <w:tcPr>
            <w:tcW w:w="1140" w:type="dxa"/>
            <w:vAlign w:val="bottom"/>
            <w:gridSpan w:val="3"/>
            <w:shd w:val="clear" w:color="auto" w:fill="CCEEFF"/>
          </w:tcPr>
          <w:p>
            <w:pPr>
              <w:jc w:val="center"/>
              <w:ind w:left="509"/>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89</w:t>
            </w:r>
          </w:p>
        </w:tc>
        <w:tc>
          <w:tcPr>
            <w:tcW w:w="720" w:type="dxa"/>
            <w:vAlign w:val="bottom"/>
            <w:tcBorders>
              <w:right w:val="single" w:sz="8" w:color="CCEEFF"/>
            </w:tcBorders>
            <w:gridSpan w:val="2"/>
            <w:shd w:val="clear" w:color="auto" w:fill="CCEEFF"/>
          </w:tcPr>
          <w:p>
            <w:pPr>
              <w:jc w:val="center"/>
              <w:ind w:right="9"/>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3,245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Arial" w:cs="Arial" w:eastAsia="Arial" w:hAnsi="Arial"/>
                <w:sz w:val="14"/>
                <w:szCs w:val="14"/>
                <w:color w:val="auto"/>
              </w:rPr>
              <w:t>PPP</w:t>
            </w:r>
          </w:p>
        </w:tc>
        <w:tc>
          <w:tcPr>
            <w:tcW w:w="1140" w:type="dxa"/>
            <w:vAlign w:val="bottom"/>
            <w:gridSpan w:val="3"/>
          </w:tcPr>
          <w:p>
            <w:pPr>
              <w:jc w:val="center"/>
              <w:ind w:left="509"/>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right="9"/>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6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540" w:type="dxa"/>
            <w:vAlign w:val="bottom"/>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right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700" w:type="dxa"/>
            <w:vAlign w:val="bottom"/>
            <w:tcBorders>
              <w:bottom w:val="single" w:sz="8" w:color="auto"/>
              <w:right w:val="single" w:sz="8" w:color="CCEEFF"/>
            </w:tcBorders>
            <w:shd w:val="clear" w:color="auto" w:fill="CCEEFF"/>
          </w:tcPr>
          <w:p>
            <w:pPr>
              <w:jc w:val="center"/>
              <w:ind w:right="29"/>
              <w:spacing w:after="0"/>
              <w:rPr>
                <w:sz w:val="20"/>
                <w:szCs w:val="20"/>
                <w:color w:val="auto"/>
              </w:rPr>
            </w:pPr>
            <w:r>
              <w:rPr>
                <w:rFonts w:ascii="Arial" w:cs="Arial" w:eastAsia="Arial" w:hAnsi="Arial"/>
                <w:sz w:val="14"/>
                <w:szCs w:val="14"/>
                <w:color w:val="auto"/>
              </w:rPr>
              <w:t>0</w:t>
            </w: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2"/>
        </w:trPr>
        <w:tc>
          <w:tcPr>
            <w:tcW w:w="60" w:type="dxa"/>
            <w:vAlign w:val="bottom"/>
          </w:tcPr>
          <w:p>
            <w:pPr>
              <w:spacing w:after="0"/>
              <w:rPr>
                <w:sz w:val="15"/>
                <w:szCs w:val="15"/>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Total troubled debt restructured loans</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20" w:type="dxa"/>
            <w:vAlign w:val="bottom"/>
          </w:tcPr>
          <w:p>
            <w:pPr>
              <w:spacing w:after="0"/>
              <w:rPr>
                <w:sz w:val="15"/>
                <w:szCs w:val="15"/>
                <w:color w:val="auto"/>
              </w:rPr>
            </w:pP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62,491</w:t>
            </w:r>
          </w:p>
        </w:tc>
        <w:tc>
          <w:tcPr>
            <w:tcW w:w="60" w:type="dxa"/>
            <w:vAlign w:val="bottom"/>
          </w:tcPr>
          <w:p>
            <w:pPr>
              <w:spacing w:after="0"/>
              <w:rPr>
                <w:sz w:val="15"/>
                <w:szCs w:val="15"/>
                <w:color w:val="auto"/>
              </w:rPr>
            </w:pPr>
          </w:p>
        </w:tc>
        <w:tc>
          <w:tcPr>
            <w:tcW w:w="120" w:type="dxa"/>
            <w:vAlign w:val="bottom"/>
            <w:gridSpan w:val="2"/>
          </w:tcPr>
          <w:p>
            <w:pPr>
              <w:jc w:val="right"/>
              <w:ind w:right="80"/>
              <w:spacing w:after="0"/>
              <w:rPr>
                <w:sz w:val="20"/>
                <w:szCs w:val="20"/>
                <w:color w:val="auto"/>
              </w:rPr>
            </w:pPr>
            <w:r>
              <w:rPr>
                <w:rFonts w:ascii="Arial" w:cs="Arial" w:eastAsia="Arial" w:hAnsi="Arial"/>
                <w:sz w:val="5"/>
                <w:szCs w:val="5"/>
                <w:color w:val="auto"/>
                <w:w w:val="70"/>
              </w:rPr>
              <w:t>$</w:t>
            </w:r>
          </w:p>
        </w:tc>
        <w:tc>
          <w:tcPr>
            <w:tcW w:w="1880" w:type="dxa"/>
            <w:vAlign w:val="bottom"/>
          </w:tcPr>
          <w:p>
            <w:pPr>
              <w:jc w:val="right"/>
              <w:ind w:right="29"/>
              <w:spacing w:after="0"/>
              <w:rPr>
                <w:sz w:val="20"/>
                <w:szCs w:val="20"/>
                <w:color w:val="auto"/>
              </w:rPr>
            </w:pPr>
            <w:r>
              <w:rPr>
                <w:rFonts w:ascii="Arial" w:cs="Arial" w:eastAsia="Arial" w:hAnsi="Arial"/>
                <w:sz w:val="14"/>
                <w:szCs w:val="14"/>
                <w:color w:val="auto"/>
              </w:rPr>
              <w:t>12,813</w:t>
            </w:r>
          </w:p>
        </w:tc>
        <w:tc>
          <w:tcPr>
            <w:tcW w:w="20" w:type="dxa"/>
            <w:vAlign w:val="bottom"/>
          </w:tcPr>
          <w:p>
            <w:pPr>
              <w:spacing w:after="0"/>
              <w:rPr>
                <w:sz w:val="15"/>
                <w:szCs w:val="15"/>
                <w:color w:val="auto"/>
              </w:rPr>
            </w:pPr>
          </w:p>
        </w:tc>
        <w:tc>
          <w:tcPr>
            <w:tcW w:w="700" w:type="dxa"/>
            <w:vAlign w:val="bottom"/>
          </w:tcPr>
          <w:p>
            <w:pPr>
              <w:jc w:val="center"/>
              <w:ind w:right="49"/>
              <w:spacing w:after="0"/>
              <w:rPr>
                <w:sz w:val="20"/>
                <w:szCs w:val="20"/>
                <w:color w:val="auto"/>
              </w:rPr>
            </w:pPr>
            <w:r>
              <w:rPr>
                <w:rFonts w:ascii="Arial" w:cs="Arial" w:eastAsia="Arial" w:hAnsi="Arial"/>
                <w:sz w:val="14"/>
                <w:szCs w:val="14"/>
                <w:color w:val="auto"/>
                <w:w w:val="89"/>
              </w:rPr>
              <w:t>17</w:t>
            </w:r>
          </w:p>
        </w:tc>
        <w:tc>
          <w:tcPr>
            <w:tcW w:w="140" w:type="dxa"/>
            <w:vAlign w:val="bottom"/>
            <w:gridSpan w:val="2"/>
          </w:tcPr>
          <w:p>
            <w:pPr>
              <w:jc w:val="center"/>
              <w:ind w:right="8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63,095</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5,489</w:t>
            </w:r>
          </w:p>
        </w:tc>
        <w:tc>
          <w:tcPr>
            <w:tcW w:w="20" w:type="dxa"/>
            <w:vAlign w:val="bottom"/>
          </w:tcPr>
          <w:p>
            <w:pPr>
              <w:spacing w:after="0"/>
              <w:rPr>
                <w:sz w:val="15"/>
                <w:szCs w:val="15"/>
                <w:color w:val="auto"/>
              </w:rPr>
            </w:pPr>
          </w:p>
        </w:tc>
      </w:tr>
      <w:tr>
        <w:trPr>
          <w:trHeight w:val="22"/>
        </w:trPr>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Default is considered to mean 90 days or more past due as to interest or principal.</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TDRs above had an allowance of $4 million as of both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460"/>
          </w:cols>
          <w:pgMar w:left="820" w:top="459" w:right="619" w:bottom="1440" w:gutter="0" w:footer="0" w:header="0"/>
        </w:sectPr>
      </w:pPr>
    </w:p>
    <w:bookmarkStart w:id="29" w:name="page30"/>
    <w:bookmarkEnd w:id="29"/>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73"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5"/>
          <w:szCs w:val="15"/>
          <w:b w:val="1"/>
          <w:bCs w:val="1"/>
          <w:color w:val="auto"/>
        </w:rPr>
        <w:t>Derivatives and Hedging</w:t>
      </w:r>
    </w:p>
    <w:p>
      <w:pPr>
        <w:spacing w:after="0" w:line="177" w:lineRule="exact"/>
        <w:rPr>
          <w:sz w:val="20"/>
          <w:szCs w:val="20"/>
          <w:color w:val="auto"/>
        </w:rPr>
      </w:pPr>
    </w:p>
    <w:p>
      <w:pPr>
        <w:ind w:left="660" w:right="619" w:firstLine="384"/>
        <w:spacing w:after="0" w:line="298" w:lineRule="auto"/>
        <w:rPr>
          <w:sz w:val="20"/>
          <w:szCs w:val="20"/>
          <w:color w:val="auto"/>
        </w:rPr>
      </w:pPr>
      <w:r>
        <w:rPr>
          <w:rFonts w:ascii="Arial" w:cs="Arial" w:eastAsia="Arial" w:hAnsi="Arial"/>
          <w:sz w:val="14"/>
          <w:szCs w:val="14"/>
          <w:color w:val="auto"/>
        </w:rPr>
        <w:t>Derivatives not designated as hedges are not speculative and result from a service the Company provides to clients. The Company executes interest rate swaps with customers to facilitate their respective risk management strategies. Those interest rate swaps are simultaneously hedged by offsetting derivatives that the Company executes with a third party, such that the Company minimizes its net risk exposure resulting from such transactions. As the interest rate derivatives associated with this program do not meet the strict hedge accounting requirements, changes in the fair value of both the customer derivatives and the offsetting derivatives are recognized directly in earnings.</w:t>
      </w:r>
    </w:p>
    <w:p>
      <w:pPr>
        <w:spacing w:after="0" w:line="102" w:lineRule="exact"/>
        <w:rPr>
          <w:sz w:val="20"/>
          <w:szCs w:val="20"/>
          <w:color w:val="auto"/>
        </w:rPr>
      </w:pPr>
    </w:p>
    <w:p>
      <w:pPr>
        <w:ind w:left="660" w:right="1079" w:firstLine="384"/>
        <w:spacing w:after="0" w:line="315" w:lineRule="auto"/>
        <w:rPr>
          <w:sz w:val="20"/>
          <w:szCs w:val="20"/>
          <w:color w:val="auto"/>
        </w:rPr>
      </w:pPr>
      <w:r>
        <w:rPr>
          <w:rFonts w:ascii="Arial" w:cs="Arial" w:eastAsia="Arial" w:hAnsi="Arial"/>
          <w:sz w:val="14"/>
          <w:szCs w:val="14"/>
          <w:color w:val="auto"/>
        </w:rPr>
        <w:t>As of September 30, 2021 and December 31, 2020, the Company had the following outstanding derivatives that were not designated as hedges in qualifying hedging relationships:</w:t>
      </w:r>
    </w:p>
    <w:tbl>
      <w:tblPr>
        <w:tblLayout w:type="fixed"/>
        <w:tblInd w:w="620" w:type="dxa"/>
        <w:tblCellMar>
          <w:top w:w="0" w:type="dxa"/>
          <w:left w:w="0" w:type="dxa"/>
          <w:bottom w:w="0" w:type="dxa"/>
          <w:right w:w="0" w:type="dxa"/>
        </w:tblCellMar>
      </w:tblPr>
      <w:tr>
        <w:trPr>
          <w:trHeight w:val="191"/>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851"/>
              <w:spacing w:after="0"/>
              <w:rPr>
                <w:sz w:val="20"/>
                <w:szCs w:val="20"/>
                <w:color w:val="auto"/>
              </w:rPr>
            </w:pPr>
            <w:r>
              <w:rPr>
                <w:rFonts w:ascii="Arial" w:cs="Arial" w:eastAsia="Arial" w:hAnsi="Arial"/>
                <w:sz w:val="14"/>
                <w:szCs w:val="14"/>
                <w:b w:val="1"/>
                <w:bCs w:val="1"/>
                <w:color w:val="auto"/>
                <w:w w:val="90"/>
              </w:rPr>
              <w:t>September 30, 2021</w:t>
            </w: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849"/>
              <w:spacing w:after="0"/>
              <w:rPr>
                <w:sz w:val="20"/>
                <w:szCs w:val="20"/>
                <w:color w:val="auto"/>
              </w:rPr>
            </w:pPr>
            <w:r>
              <w:rPr>
                <w:rFonts w:ascii="Arial" w:cs="Arial" w:eastAsia="Arial" w:hAnsi="Arial"/>
                <w:sz w:val="14"/>
                <w:szCs w:val="14"/>
                <w:b w:val="1"/>
                <w:bCs w:val="1"/>
                <w:color w:val="auto"/>
                <w:w w:val="90"/>
              </w:rPr>
              <w:t>December 31, 2020</w:t>
            </w:r>
          </w:p>
        </w:tc>
      </w:tr>
      <w:tr>
        <w:trPr>
          <w:trHeight w:val="167"/>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1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Number of Instruments</w:t>
            </w:r>
          </w:p>
        </w:tc>
        <w:tc>
          <w:tcPr>
            <w:tcW w:w="1440" w:type="dxa"/>
            <w:vAlign w:val="bottom"/>
          </w:tcPr>
          <w:p>
            <w:pPr>
              <w:jc w:val="right"/>
              <w:ind w:right="171"/>
              <w:spacing w:after="0"/>
              <w:rPr>
                <w:sz w:val="20"/>
                <w:szCs w:val="20"/>
                <w:color w:val="auto"/>
              </w:rPr>
            </w:pPr>
            <w:r>
              <w:rPr>
                <w:rFonts w:ascii="Arial" w:cs="Arial" w:eastAsia="Arial" w:hAnsi="Arial"/>
                <w:sz w:val="14"/>
                <w:szCs w:val="14"/>
                <w:b w:val="1"/>
                <w:bCs w:val="1"/>
                <w:color w:val="auto"/>
              </w:rPr>
              <w:t>Notional Amount</w:t>
            </w:r>
          </w:p>
        </w:tc>
        <w:tc>
          <w:tcPr>
            <w:tcW w:w="17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Number of Instruments</w:t>
            </w:r>
          </w:p>
        </w:tc>
        <w:tc>
          <w:tcPr>
            <w:tcW w:w="1440" w:type="dxa"/>
            <w:vAlign w:val="bottom"/>
          </w:tcPr>
          <w:p>
            <w:pPr>
              <w:jc w:val="right"/>
              <w:ind w:right="169"/>
              <w:spacing w:after="0"/>
              <w:rPr>
                <w:sz w:val="20"/>
                <w:szCs w:val="20"/>
                <w:color w:val="auto"/>
              </w:rPr>
            </w:pPr>
            <w:r>
              <w:rPr>
                <w:rFonts w:ascii="Arial" w:cs="Arial" w:eastAsia="Arial" w:hAnsi="Arial"/>
                <w:sz w:val="14"/>
                <w:szCs w:val="14"/>
                <w:b w:val="1"/>
                <w:bCs w:val="1"/>
                <w:color w:val="auto"/>
              </w:rPr>
              <w:t>Notional Amount</w:t>
            </w: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3"/>
          </w:tcPr>
          <w:p>
            <w:pPr>
              <w:ind w:left="860"/>
              <w:spacing w:after="0"/>
              <w:rPr>
                <w:sz w:val="20"/>
                <w:szCs w:val="20"/>
                <w:color w:val="auto"/>
              </w:rPr>
            </w:pPr>
            <w:r>
              <w:rPr>
                <w:rFonts w:ascii="Arial" w:cs="Arial" w:eastAsia="Arial" w:hAnsi="Arial"/>
                <w:sz w:val="13"/>
                <w:szCs w:val="13"/>
                <w:i w:val="1"/>
                <w:iCs w:val="1"/>
                <w:color w:val="auto"/>
              </w:rPr>
              <w:t>(Dollars in thousands)</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Back-to-back swaps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573,304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515,567</w:t>
            </w:r>
          </w:p>
        </w:tc>
      </w:tr>
    </w:tbl>
    <w:p>
      <w:pPr>
        <w:spacing w:after="0" w:line="160" w:lineRule="exact"/>
        <w:rPr>
          <w:sz w:val="20"/>
          <w:szCs w:val="20"/>
          <w:color w:val="auto"/>
        </w:rPr>
      </w:pPr>
    </w:p>
    <w:p>
      <w:pPr>
        <w:ind w:left="660" w:right="659" w:firstLine="395"/>
        <w:spacing w:after="0" w:line="307" w:lineRule="auto"/>
        <w:rPr>
          <w:sz w:val="20"/>
          <w:szCs w:val="20"/>
          <w:color w:val="auto"/>
        </w:rPr>
      </w:pPr>
      <w:r>
        <w:rPr>
          <w:rFonts w:ascii="Arial" w:cs="Arial" w:eastAsia="Arial" w:hAnsi="Arial"/>
          <w:sz w:val="14"/>
          <w:szCs w:val="14"/>
          <w:color w:val="auto"/>
        </w:rPr>
        <w:t>The table below presents the fair value of the Company’s derivative financial instruments and their classification on the Balance Sheet as of September 30, 2021 and December 31, 2020:</w:t>
      </w:r>
    </w:p>
    <w:tbl>
      <w:tblPr>
        <w:tblLayout w:type="fixed"/>
        <w:tblInd w:w="620" w:type="dxa"/>
        <w:tblCellMar>
          <w:top w:w="0" w:type="dxa"/>
          <w:left w:w="0" w:type="dxa"/>
          <w:bottom w:w="0" w:type="dxa"/>
          <w:right w:w="0" w:type="dxa"/>
        </w:tblCellMar>
      </w:tblPr>
      <w:tr>
        <w:trPr>
          <w:trHeight w:val="191"/>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9"/>
              </w:rPr>
              <w:t>Asset Derivatives</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5"/>
              </w:rPr>
              <w:t>Liability Derivatives</w:t>
            </w:r>
          </w:p>
        </w:tc>
        <w:tc>
          <w:tcPr>
            <w:tcW w:w="960" w:type="dxa"/>
            <w:vAlign w:val="bottom"/>
            <w:tcBorders>
              <w:bottom w:val="single" w:sz="8" w:color="auto"/>
            </w:tcBorders>
          </w:tcPr>
          <w:p>
            <w:pPr>
              <w:spacing w:after="0"/>
              <w:rPr>
                <w:sz w:val="16"/>
                <w:szCs w:val="16"/>
                <w:color w:val="auto"/>
              </w:rPr>
            </w:pPr>
          </w:p>
        </w:tc>
      </w:tr>
      <w:tr>
        <w:trPr>
          <w:trHeight w:val="220"/>
        </w:trPr>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w w:val="89"/>
              </w:rPr>
              <w:t>Balance Sheet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jc w:val="center"/>
              <w:ind w:right="51"/>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center"/>
              <w:ind w:right="69"/>
              <w:spacing w:after="0"/>
              <w:rPr>
                <w:sz w:val="20"/>
                <w:szCs w:val="20"/>
                <w:color w:val="auto"/>
              </w:rPr>
            </w:pPr>
            <w:r>
              <w:rPr>
                <w:rFonts w:ascii="Arial" w:cs="Arial" w:eastAsia="Arial" w:hAnsi="Arial"/>
                <w:sz w:val="14"/>
                <w:szCs w:val="14"/>
                <w:b w:val="1"/>
                <w:bCs w:val="1"/>
                <w:color w:val="auto"/>
                <w:w w:val="90"/>
              </w:rPr>
              <w:t>December 31,</w:t>
            </w:r>
          </w:p>
        </w:tc>
      </w:tr>
      <w:tr>
        <w:trPr>
          <w:trHeight w:val="203"/>
        </w:trPr>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2020</w:t>
            </w:r>
          </w:p>
        </w:tc>
      </w:tr>
      <w:tr>
        <w:trPr>
          <w:trHeight w:val="178"/>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40" w:type="dxa"/>
            <w:vAlign w:val="bottom"/>
            <w:gridSpan w:val="3"/>
          </w:tcPr>
          <w:p>
            <w:pPr>
              <w:ind w:left="400"/>
              <w:spacing w:after="0"/>
              <w:rPr>
                <w:sz w:val="20"/>
                <w:szCs w:val="20"/>
                <w:color w:val="auto"/>
              </w:rPr>
            </w:pPr>
            <w:r>
              <w:rPr>
                <w:rFonts w:ascii="Arial" w:cs="Arial" w:eastAsia="Arial" w:hAnsi="Arial"/>
                <w:sz w:val="13"/>
                <w:szCs w:val="13"/>
                <w:i w:val="1"/>
                <w:iCs w:val="1"/>
                <w:color w:val="auto"/>
              </w:rPr>
              <w:t>(Dollars 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6"/>
        </w:trPr>
        <w:tc>
          <w:tcPr>
            <w:tcW w:w="3540" w:type="dxa"/>
            <w:vAlign w:val="bottom"/>
            <w:gridSpan w:val="7"/>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3500" w:type="dxa"/>
            <w:vAlign w:val="bottom"/>
            <w:gridSpan w:val="6"/>
            <w:shd w:val="clear" w:color="auto" w:fill="CCEEFF"/>
          </w:tcPr>
          <w:p>
            <w:pPr>
              <w:jc w:val="right"/>
              <w:ind w:right="409"/>
              <w:spacing w:after="0"/>
              <w:rPr>
                <w:sz w:val="20"/>
                <w:szCs w:val="20"/>
                <w:color w:val="auto"/>
              </w:rPr>
            </w:pPr>
            <w:r>
              <w:rPr>
                <w:rFonts w:ascii="Arial" w:cs="Arial" w:eastAsia="Arial" w:hAnsi="Arial"/>
                <w:sz w:val="14"/>
                <w:szCs w:val="14"/>
                <w:b w:val="1"/>
                <w:bCs w:val="1"/>
                <w:color w:val="auto"/>
                <w:w w:val="88"/>
              </w:rPr>
              <w:t>Derivatives not designated as hedging instruments</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1"/>
        </w:trPr>
        <w:tc>
          <w:tcPr>
            <w:tcW w:w="1340" w:type="dxa"/>
            <w:vAlign w:val="bottom"/>
            <w:gridSpan w:val="2"/>
          </w:tcPr>
          <w:p>
            <w:pPr>
              <w:spacing w:after="0"/>
              <w:rPr>
                <w:sz w:val="20"/>
                <w:szCs w:val="20"/>
                <w:color w:val="auto"/>
              </w:rPr>
            </w:pPr>
            <w:r>
              <w:rPr>
                <w:rFonts w:ascii="Arial" w:cs="Arial" w:eastAsia="Arial" w:hAnsi="Arial"/>
                <w:sz w:val="14"/>
                <w:szCs w:val="14"/>
                <w:color w:val="auto"/>
                <w:w w:val="99"/>
              </w:rPr>
              <w:t>Interest rate products</w:t>
            </w: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Other assets</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15,424</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24,094</w:t>
            </w: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w w:val="97"/>
              </w:rPr>
              <w:t>Other liabilities</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15,628</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24,454</w:t>
            </w:r>
          </w:p>
        </w:tc>
      </w:tr>
    </w:tbl>
    <w:p>
      <w:pPr>
        <w:spacing w:after="0" w:line="150" w:lineRule="exact"/>
        <w:rPr>
          <w:sz w:val="20"/>
          <w:szCs w:val="20"/>
          <w:color w:val="auto"/>
        </w:rPr>
      </w:pPr>
    </w:p>
    <w:p>
      <w:pPr>
        <w:ind w:left="660" w:right="719" w:firstLine="395"/>
        <w:spacing w:after="0" w:line="330" w:lineRule="auto"/>
        <w:rPr>
          <w:sz w:val="20"/>
          <w:szCs w:val="20"/>
          <w:color w:val="auto"/>
        </w:rPr>
      </w:pPr>
      <w:r>
        <w:rPr>
          <w:rFonts w:ascii="Arial" w:cs="Arial" w:eastAsia="Arial" w:hAnsi="Arial"/>
          <w:sz w:val="13"/>
          <w:szCs w:val="13"/>
          <w:color w:val="auto"/>
        </w:rPr>
        <w:t>The effect of the Company’s derivative financial instruments that are not designated as hedging instruments are reported on the Consolidated Statements of Income as swap fee income, net, which includes swap fees earned upon origination and credit valuation adjustments that represent the risk of a counterparty’s default. The effect of the Company’s derivative financial instruments gain (loss) are reported on the Consolidated Statements of Cash Flows within “other assets” and “other liabilities”.</w:t>
      </w:r>
    </w:p>
    <w:p>
      <w:pPr>
        <w:spacing w:after="0" w:line="235"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Time Deposits and Borrowings</w:t>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scheduled maturities, excluding interest, of the Company’s borrowings at September 30, 2021 were as follows:</w:t>
      </w:r>
    </w:p>
    <w:p>
      <w:pPr>
        <w:spacing w:after="0" w:line="48"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1"/>
              </w:rPr>
              <w:t>September 30, 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57"/>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w w:val="91"/>
              </w:rPr>
              <w:t>Within One</w:t>
            </w:r>
          </w:p>
        </w:tc>
        <w:tc>
          <w:tcPr>
            <w:tcW w:w="60" w:type="dxa"/>
            <w:vAlign w:val="bottom"/>
          </w:tcPr>
          <w:p>
            <w:pPr>
              <w:spacing w:after="0"/>
              <w:rPr>
                <w:sz w:val="13"/>
                <w:szCs w:val="13"/>
                <w:color w:val="auto"/>
              </w:rPr>
            </w:pPr>
          </w:p>
        </w:tc>
        <w:tc>
          <w:tcPr>
            <w:tcW w:w="78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w w:val="91"/>
              </w:rPr>
              <w:t>One to Two</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50"/>
              <w:spacing w:after="0" w:line="157" w:lineRule="exact"/>
              <w:rPr>
                <w:sz w:val="20"/>
                <w:szCs w:val="20"/>
                <w:color w:val="auto"/>
              </w:rPr>
            </w:pPr>
            <w:r>
              <w:rPr>
                <w:rFonts w:ascii="Arial" w:cs="Arial" w:eastAsia="Arial" w:hAnsi="Arial"/>
                <w:sz w:val="14"/>
                <w:szCs w:val="14"/>
                <w:b w:val="1"/>
                <w:bCs w:val="1"/>
                <w:color w:val="auto"/>
                <w:w w:val="88"/>
              </w:rPr>
              <w:t>Two to</w:t>
            </w:r>
          </w:p>
        </w:tc>
        <w:tc>
          <w:tcPr>
            <w:tcW w:w="140" w:type="dxa"/>
            <w:vAlign w:val="bottom"/>
          </w:tcPr>
          <w:p>
            <w:pPr>
              <w:spacing w:after="0"/>
              <w:rPr>
                <w:sz w:val="13"/>
                <w:szCs w:val="13"/>
                <w:color w:val="auto"/>
              </w:rPr>
            </w:pPr>
          </w:p>
        </w:tc>
        <w:tc>
          <w:tcPr>
            <w:tcW w:w="720" w:type="dxa"/>
            <w:vAlign w:val="bottom"/>
          </w:tcPr>
          <w:p>
            <w:pPr>
              <w:jc w:val="right"/>
              <w:ind w:right="109"/>
              <w:spacing w:after="0" w:line="157" w:lineRule="exact"/>
              <w:rPr>
                <w:sz w:val="20"/>
                <w:szCs w:val="20"/>
                <w:color w:val="auto"/>
              </w:rPr>
            </w:pPr>
            <w:r>
              <w:rPr>
                <w:rFonts w:ascii="Arial" w:cs="Arial" w:eastAsia="Arial" w:hAnsi="Arial"/>
                <w:sz w:val="14"/>
                <w:szCs w:val="14"/>
                <w:b w:val="1"/>
                <w:bCs w:val="1"/>
                <w:color w:val="auto"/>
                <w:w w:val="94"/>
              </w:rPr>
              <w:t>Three to</w:t>
            </w:r>
          </w:p>
        </w:tc>
        <w:tc>
          <w:tcPr>
            <w:tcW w:w="84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w w:val="99"/>
              </w:rPr>
              <w:t>Four to Five</w:t>
            </w:r>
          </w:p>
        </w:tc>
        <w:tc>
          <w:tcPr>
            <w:tcW w:w="100" w:type="dxa"/>
            <w:vAlign w:val="bottom"/>
          </w:tcPr>
          <w:p>
            <w:pPr>
              <w:spacing w:after="0"/>
              <w:rPr>
                <w:sz w:val="13"/>
                <w:szCs w:val="13"/>
                <w:color w:val="auto"/>
              </w:rPr>
            </w:pPr>
          </w:p>
        </w:tc>
        <w:tc>
          <w:tcPr>
            <w:tcW w:w="740" w:type="dxa"/>
            <w:vAlign w:val="bottom"/>
          </w:tcPr>
          <w:p>
            <w:pPr>
              <w:jc w:val="right"/>
              <w:ind w:right="49"/>
              <w:spacing w:after="0" w:line="157" w:lineRule="exact"/>
              <w:rPr>
                <w:sz w:val="20"/>
                <w:szCs w:val="20"/>
                <w:color w:val="auto"/>
              </w:rPr>
            </w:pPr>
            <w:r>
              <w:rPr>
                <w:rFonts w:ascii="Arial" w:cs="Arial" w:eastAsia="Arial" w:hAnsi="Arial"/>
                <w:sz w:val="14"/>
                <w:szCs w:val="14"/>
                <w:b w:val="1"/>
                <w:bCs w:val="1"/>
                <w:color w:val="auto"/>
                <w:w w:val="92"/>
              </w:rPr>
              <w:t>After Five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4"/>
        </w:trPr>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09"/>
              <w:spacing w:after="0"/>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9"/>
              <w:spacing w:after="0"/>
              <w:rPr>
                <w:sz w:val="20"/>
                <w:szCs w:val="20"/>
                <w:color w:val="auto"/>
              </w:rPr>
            </w:pPr>
            <w:r>
              <w:rPr>
                <w:rFonts w:ascii="Arial" w:cs="Arial" w:eastAsia="Arial" w:hAnsi="Arial"/>
                <w:sz w:val="14"/>
                <w:szCs w:val="14"/>
                <w:b w:val="1"/>
                <w:bCs w:val="1"/>
                <w:color w:val="auto"/>
                <w:w w:val="99"/>
              </w:rPr>
              <w:t>Years</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Three Years</w:t>
            </w:r>
          </w:p>
        </w:tc>
        <w:tc>
          <w:tcPr>
            <w:tcW w:w="14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b w:val="1"/>
                <w:bCs w:val="1"/>
                <w:color w:val="auto"/>
                <w:w w:val="81"/>
              </w:rPr>
              <w:t>Four Years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89"/>
              <w:spacing w:after="0"/>
              <w:rPr>
                <w:sz w:val="20"/>
                <w:szCs w:val="20"/>
                <w:color w:val="auto"/>
              </w:rPr>
            </w:pPr>
            <w:r>
              <w:rPr>
                <w:rFonts w:ascii="Arial" w:cs="Arial" w:eastAsia="Arial" w:hAnsi="Arial"/>
                <w:sz w:val="14"/>
                <w:szCs w:val="14"/>
                <w:b w:val="1"/>
                <w:bCs w:val="1"/>
                <w:color w:val="auto"/>
                <w:w w:val="83"/>
              </w:rPr>
              <w:t>Years</w:t>
            </w:r>
          </w:p>
        </w:tc>
        <w:tc>
          <w:tcPr>
            <w:tcW w:w="100" w:type="dxa"/>
            <w:vAlign w:val="bottom"/>
          </w:tcPr>
          <w:p>
            <w:pPr>
              <w:spacing w:after="0"/>
              <w:rPr>
                <w:sz w:val="14"/>
                <w:szCs w:val="14"/>
                <w:color w:val="auto"/>
              </w:rPr>
            </w:pPr>
          </w:p>
        </w:tc>
        <w:tc>
          <w:tcPr>
            <w:tcW w:w="740" w:type="dxa"/>
            <w:vAlign w:val="bottom"/>
          </w:tcPr>
          <w:p>
            <w:pPr>
              <w:jc w:val="right"/>
              <w:ind w:right="189"/>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540"/>
              <w:spacing w:after="0"/>
              <w:rPr>
                <w:sz w:val="20"/>
                <w:szCs w:val="20"/>
                <w:color w:val="auto"/>
              </w:rPr>
            </w:pPr>
            <w:r>
              <w:rPr>
                <w:rFonts w:ascii="Arial" w:cs="Arial" w:eastAsia="Arial" w:hAnsi="Arial"/>
                <w:sz w:val="13"/>
                <w:szCs w:val="13"/>
                <w:i w:val="1"/>
                <w:iCs w:val="1"/>
                <w:color w:val="auto"/>
                <w:w w:val="93"/>
              </w:rPr>
              <w:t>(Dollars in 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4"/>
        </w:trPr>
        <w:tc>
          <w:tcPr>
            <w:tcW w:w="4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3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586,365</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83,090</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27,086</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187</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4,393</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701,121</w:t>
            </w:r>
          </w:p>
        </w:tc>
      </w:tr>
      <w:tr>
        <w:trPr>
          <w:trHeight w:val="181"/>
        </w:trPr>
        <w:tc>
          <w:tcPr>
            <w:tcW w:w="4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FHLB borrowings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21,500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35,000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5,100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215,000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276,600</w:t>
            </w:r>
          </w:p>
        </w:tc>
      </w:tr>
      <w:tr>
        <w:trPr>
          <w:trHeight w:val="176"/>
        </w:trPr>
        <w:tc>
          <w:tcPr>
            <w:tcW w:w="40" w:type="dxa"/>
            <w:vAlign w:val="bottom"/>
          </w:tcPr>
          <w:p>
            <w:pPr>
              <w:spacing w:after="0"/>
              <w:rPr>
                <w:sz w:val="15"/>
                <w:szCs w:val="15"/>
                <w:color w:val="auto"/>
              </w:rPr>
            </w:pPr>
          </w:p>
        </w:tc>
        <w:tc>
          <w:tcPr>
            <w:tcW w:w="1660" w:type="dxa"/>
            <w:vAlign w:val="bottom"/>
            <w:shd w:val="clear" w:color="auto" w:fill="CCEEFF"/>
          </w:tcPr>
          <w:p>
            <w:pPr>
              <w:spacing w:after="0" w:line="170" w:lineRule="exact"/>
              <w:rPr>
                <w:sz w:val="20"/>
                <w:szCs w:val="20"/>
                <w:color w:val="auto"/>
              </w:rPr>
            </w:pPr>
            <w:r>
              <w:rPr>
                <w:rFonts w:ascii="Arial" w:cs="Arial" w:eastAsia="Arial" w:hAnsi="Arial"/>
                <w:sz w:val="14"/>
                <w:szCs w:val="14"/>
                <w:color w:val="auto"/>
                <w:w w:val="96"/>
              </w:rPr>
              <w:t>Trust preferred securities</w:t>
            </w:r>
            <w:r>
              <w:rPr>
                <w:rFonts w:ascii="Arial" w:cs="Arial" w:eastAsia="Arial" w:hAnsi="Arial"/>
                <w:sz w:val="18"/>
                <w:szCs w:val="18"/>
                <w:color w:val="auto"/>
                <w:w w:val="96"/>
                <w:vertAlign w:val="superscript"/>
              </w:rPr>
              <w:t>(1)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997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997</w:t>
            </w:r>
          </w:p>
        </w:tc>
      </w:tr>
      <w:tr>
        <w:trPr>
          <w:trHeight w:val="188"/>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607,865</w:t>
            </w: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118,090</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27,086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5,287</w:t>
            </w: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4,393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215,997</w:t>
            </w: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978,718</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ind w:left="640" w:hanging="137"/>
        <w:spacing w:after="0" w:line="221" w:lineRule="auto"/>
        <w:tabs>
          <w:tab w:leader="none" w:pos="6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The contract value of the trust preferred securities is $2.6 million and is currently being accreted to the maturity date of 2035.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9019"/>
          </w:cols>
          <w:pgMar w:left="1440" w:top="459" w:right="1440" w:bottom="1440" w:gutter="0" w:footer="0" w:header="0"/>
        </w:sectPr>
      </w:pPr>
    </w:p>
    <w:bookmarkStart w:id="30" w:name="page31"/>
    <w:bookmarkEnd w:id="30"/>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73" w:lineRule="exact"/>
        <w:rPr>
          <w:sz w:val="20"/>
          <w:szCs w:val="20"/>
          <w:color w:val="auto"/>
        </w:rPr>
      </w:pPr>
    </w:p>
    <w:p>
      <w:pPr>
        <w:ind w:left="680"/>
        <w:spacing w:after="0"/>
        <w:tabs>
          <w:tab w:leader="none" w:pos="154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Change in Accumulated Other Comprehensive Income (“AOCI”)</w:t>
      </w:r>
    </w:p>
    <w:p>
      <w:pPr>
        <w:spacing w:after="0" w:line="177" w:lineRule="exact"/>
        <w:rPr>
          <w:sz w:val="20"/>
          <w:szCs w:val="20"/>
          <w:color w:val="auto"/>
        </w:rPr>
      </w:pPr>
    </w:p>
    <w:p>
      <w:pPr>
        <w:ind w:left="640" w:right="579" w:firstLine="395"/>
        <w:spacing w:after="0" w:line="316" w:lineRule="auto"/>
        <w:rPr>
          <w:sz w:val="20"/>
          <w:szCs w:val="20"/>
          <w:color w:val="auto"/>
        </w:rPr>
      </w:pPr>
      <w:r>
        <w:rPr>
          <w:rFonts w:ascii="Arial" w:cs="Arial" w:eastAsia="Arial" w:hAnsi="Arial"/>
          <w:sz w:val="14"/>
          <w:szCs w:val="14"/>
          <w:color w:val="auto"/>
        </w:rPr>
        <w:t>Amounts reclassified from AOCI and the affected line items in the Consolidated Statements of Income during the three- and nine-month periods ended September 30, 2021 and 2020, were as follows:</w:t>
      </w:r>
    </w:p>
    <w:p>
      <w:pPr>
        <w:spacing w:after="0" w:line="20"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1520" w:type="dxa"/>
            <w:vAlign w:val="bottom"/>
            <w:gridSpan w:val="3"/>
          </w:tcPr>
          <w:p>
            <w:pPr>
              <w:jc w:val="right"/>
              <w:ind w:right="189"/>
              <w:spacing w:after="0"/>
              <w:rPr>
                <w:sz w:val="20"/>
                <w:szCs w:val="20"/>
                <w:color w:val="auto"/>
              </w:rPr>
            </w:pPr>
            <w:r>
              <w:rPr>
                <w:rFonts w:ascii="Arial" w:cs="Arial" w:eastAsia="Arial" w:hAnsi="Arial"/>
                <w:sz w:val="14"/>
                <w:szCs w:val="14"/>
                <w:b w:val="1"/>
                <w:bCs w:val="1"/>
                <w:color w:val="auto"/>
                <w:w w:val="94"/>
              </w:rPr>
              <w:t>Nine Months Ended</w:t>
            </w:r>
          </w:p>
        </w:tc>
        <w:tc>
          <w:tcPr>
            <w:tcW w:w="1940" w:type="dxa"/>
            <w:vAlign w:val="bottom"/>
          </w:tcPr>
          <w:p>
            <w:pPr>
              <w:spacing w:after="0"/>
              <w:rPr>
                <w:sz w:val="16"/>
                <w:szCs w:val="16"/>
                <w:color w:val="auto"/>
              </w:rPr>
            </w:pPr>
          </w:p>
        </w:tc>
      </w:tr>
      <w:tr>
        <w:trPr>
          <w:trHeight w:val="193"/>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69"/>
              <w:spacing w:after="0"/>
              <w:rPr>
                <w:sz w:val="20"/>
                <w:szCs w:val="20"/>
                <w:color w:val="auto"/>
              </w:rPr>
            </w:pPr>
            <w:r>
              <w:rPr>
                <w:rFonts w:ascii="Arial" w:cs="Arial" w:eastAsia="Arial" w:hAnsi="Arial"/>
                <w:sz w:val="14"/>
                <w:szCs w:val="14"/>
                <w:b w:val="1"/>
                <w:bCs w:val="1"/>
                <w:color w:val="auto"/>
              </w:rPr>
              <w:t>September 30,</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r>
      <w:tr>
        <w:trPr>
          <w:trHeight w:val="204"/>
        </w:trPr>
        <w:tc>
          <w:tcPr>
            <w:tcW w:w="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2020</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Statements of Income</w:t>
            </w:r>
          </w:p>
        </w:tc>
      </w:tr>
      <w:tr>
        <w:trPr>
          <w:trHeight w:val="172"/>
        </w:trPr>
        <w:tc>
          <w:tcPr>
            <w:tcW w:w="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189"/>
              <w:spacing w:after="0"/>
              <w:rPr>
                <w:sz w:val="20"/>
                <w:szCs w:val="20"/>
                <w:color w:val="auto"/>
              </w:rPr>
            </w:pPr>
            <w:r>
              <w:rPr>
                <w:rFonts w:ascii="Arial" w:cs="Arial" w:eastAsia="Arial" w:hAnsi="Arial"/>
                <w:sz w:val="13"/>
                <w:szCs w:val="13"/>
                <w:i w:val="1"/>
                <w:iCs w:val="1"/>
                <w:color w:val="auto"/>
                <w:w w:val="94"/>
              </w:rPr>
              <w:t>(Dollars in thousands)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3"/>
        </w:trPr>
        <w:tc>
          <w:tcPr>
            <w:tcW w:w="40" w:type="dxa"/>
            <w:vAlign w:val="bottom"/>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gains on available-for-sale</w:t>
            </w:r>
          </w:p>
        </w:tc>
        <w:tc>
          <w:tcPr>
            <w:tcW w:w="34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w w:val="93"/>
              </w:rPr>
              <w:t>Gain on sale of available-for-sale</w:t>
            </w:r>
          </w:p>
        </w:tc>
      </w:tr>
      <w:tr>
        <w:trPr>
          <w:trHeight w:val="160"/>
        </w:trPr>
        <w:tc>
          <w:tcPr>
            <w:tcW w:w="4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securities</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1,046</w:t>
            </w:r>
          </w:p>
        </w:tc>
        <w:tc>
          <w:tcPr>
            <w:tcW w:w="100" w:type="dxa"/>
            <w:vAlign w:val="bottom"/>
            <w:tcBorders>
              <w:left w:val="single" w:sz="8" w:color="CCEEFF"/>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1,012</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1,043</w:t>
            </w:r>
          </w:p>
        </w:tc>
        <w:tc>
          <w:tcPr>
            <w:tcW w:w="120" w:type="dxa"/>
            <w:vAlign w:val="bottom"/>
            <w:tcBorders>
              <w:left w:val="single" w:sz="8" w:color="CCEEFF"/>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6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1,725</w:t>
            </w: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securities</w:t>
            </w:r>
          </w:p>
        </w:tc>
      </w:tr>
      <w:tr>
        <w:trPr>
          <w:trHeight w:val="181"/>
        </w:trPr>
        <w:tc>
          <w:tcPr>
            <w:tcW w:w="2440" w:type="dxa"/>
            <w:vAlign w:val="bottom"/>
            <w:gridSpan w:val="2"/>
          </w:tcPr>
          <w:p>
            <w:pPr>
              <w:spacing w:after="0"/>
              <w:rPr>
                <w:sz w:val="20"/>
                <w:szCs w:val="20"/>
                <w:color w:val="auto"/>
              </w:rPr>
            </w:pPr>
            <w:r>
              <w:rPr>
                <w:rFonts w:ascii="Arial" w:cs="Arial" w:eastAsia="Arial" w:hAnsi="Arial"/>
                <w:sz w:val="14"/>
                <w:szCs w:val="14"/>
                <w:color w:val="auto"/>
              </w:rPr>
              <w:t>Less: tax benefit effect</w:t>
            </w:r>
          </w:p>
        </w:tc>
        <w:tc>
          <w:tcPr>
            <w:tcW w:w="340" w:type="dxa"/>
            <w:vAlign w:val="bottom"/>
          </w:tcPr>
          <w:p>
            <w:pPr>
              <w:spacing w:after="0"/>
              <w:rPr>
                <w:sz w:val="15"/>
                <w:szCs w:val="15"/>
                <w:color w:val="auto"/>
              </w:rPr>
            </w:pP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5"/>
                <w:szCs w:val="15"/>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5"/>
                <w:szCs w:val="15"/>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422</w:t>
            </w:r>
          </w:p>
        </w:tc>
        <w:tc>
          <w:tcPr>
            <w:tcW w:w="1940" w:type="dxa"/>
            <w:vAlign w:val="bottom"/>
          </w:tcPr>
          <w:p>
            <w:pPr>
              <w:spacing w:after="0"/>
              <w:rPr>
                <w:sz w:val="20"/>
                <w:szCs w:val="20"/>
                <w:color w:val="auto"/>
              </w:rPr>
            </w:pPr>
            <w:r>
              <w:rPr>
                <w:rFonts w:ascii="Arial" w:cs="Arial" w:eastAsia="Arial" w:hAnsi="Arial"/>
                <w:sz w:val="14"/>
                <w:szCs w:val="14"/>
                <w:color w:val="auto"/>
              </w:rPr>
              <w:t>Income tax benefit</w:t>
            </w:r>
          </w:p>
        </w:tc>
      </w:tr>
      <w:tr>
        <w:trPr>
          <w:trHeight w:val="20"/>
        </w:trPr>
        <w:tc>
          <w:tcPr>
            <w:tcW w:w="4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reclassified amount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790</w:t>
            </w:r>
          </w:p>
        </w:tc>
        <w:tc>
          <w:tcPr>
            <w:tcW w:w="100" w:type="dxa"/>
            <w:vAlign w:val="bottom"/>
            <w:tcBorders>
              <w:left w:val="single" w:sz="8" w:color="CCEEFF"/>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764</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788</w:t>
            </w:r>
          </w:p>
        </w:tc>
        <w:tc>
          <w:tcPr>
            <w:tcW w:w="120" w:type="dxa"/>
            <w:vAlign w:val="bottom"/>
            <w:tcBorders>
              <w:left w:val="single" w:sz="8" w:color="CCEEFF"/>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68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1,303</w:t>
            </w:r>
          </w:p>
        </w:tc>
        <w:tc>
          <w:tcPr>
            <w:tcW w:w="1940" w:type="dxa"/>
            <w:vAlign w:val="bottom"/>
            <w:shd w:val="clear" w:color="auto" w:fill="CCEEFF"/>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3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Regulatory Matters</w:t>
      </w:r>
    </w:p>
    <w:p>
      <w:pPr>
        <w:spacing w:after="0" w:line="177" w:lineRule="exact"/>
        <w:rPr>
          <w:sz w:val="20"/>
          <w:szCs w:val="20"/>
          <w:color w:val="auto"/>
        </w:rPr>
      </w:pPr>
    </w:p>
    <w:p>
      <w:pPr>
        <w:ind w:left="660" w:right="639" w:firstLine="395"/>
        <w:spacing w:after="0" w:line="330" w:lineRule="auto"/>
        <w:rPr>
          <w:sz w:val="20"/>
          <w:szCs w:val="20"/>
          <w:color w:val="auto"/>
        </w:rPr>
      </w:pPr>
      <w:r>
        <w:rPr>
          <w:rFonts w:ascii="Arial" w:cs="Arial" w:eastAsia="Arial" w:hAnsi="Arial"/>
          <w:sz w:val="13"/>
          <w:szCs w:val="13"/>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September 30, 2021, the Company and the Bank met all capital adequacy requirements to which they are subject.</w:t>
      </w:r>
    </w:p>
    <w:p>
      <w:pPr>
        <w:spacing w:after="0" w:line="95" w:lineRule="exact"/>
        <w:rPr>
          <w:sz w:val="20"/>
          <w:szCs w:val="20"/>
          <w:color w:val="auto"/>
        </w:rPr>
      </w:pPr>
    </w:p>
    <w:p>
      <w:pPr>
        <w:ind w:left="660" w:right="599" w:firstLine="395"/>
        <w:spacing w:after="0" w:line="301" w:lineRule="auto"/>
        <w:rPr>
          <w:sz w:val="20"/>
          <w:szCs w:val="20"/>
          <w:color w:val="auto"/>
        </w:rPr>
      </w:pPr>
      <w:r>
        <w:rPr>
          <w:rFonts w:ascii="Arial" w:cs="Arial" w:eastAsia="Arial" w:hAnsi="Arial"/>
          <w:sz w:val="14"/>
          <w:szCs w:val="14"/>
          <w:color w:val="auto"/>
        </w:rPr>
        <w:t>The capital rules require the Company to maintain a 2.5% capital conservation buffer with respect to Common Equity Tier I capital, Tier I capital to risk-weighted assets, and total capital to risk-weighted assets, which is included in the column “Minimum Capital Required - Basel III” within the table below. A financial institution with a conservation buffer of less than the required amount is subject to limitations on capital distributions, including dividend payments and stock repurchases, as well as certain discretionary bonus payments to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9019"/>
          </w:cols>
          <w:pgMar w:left="1440" w:top="459" w:right="1440" w:bottom="1440" w:gutter="0" w:footer="0" w:header="0"/>
        </w:sectPr>
      </w:pPr>
    </w:p>
    <w:bookmarkStart w:id="31" w:name="page32"/>
    <w:bookmarkEnd w:id="31"/>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ind w:left="640" w:right="619" w:firstLine="395"/>
        <w:spacing w:after="0" w:line="316" w:lineRule="auto"/>
        <w:rPr>
          <w:sz w:val="20"/>
          <w:szCs w:val="20"/>
          <w:color w:val="auto"/>
        </w:rPr>
      </w:pPr>
      <w:r>
        <w:rPr>
          <w:rFonts w:ascii="Arial" w:cs="Arial" w:eastAsia="Arial" w:hAnsi="Arial"/>
          <w:sz w:val="14"/>
          <w:szCs w:val="14"/>
          <w:color w:val="auto"/>
        </w:rPr>
        <w:t>The Company’s and the Bank’s actual capital amounts and ratios as of September 30, 2021 and December 31, 2020 are presented in the following table:</w:t>
      </w:r>
    </w:p>
    <w:p>
      <w:pPr>
        <w:spacing w:after="0" w:line="6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ind w:left="260"/>
              <w:spacing w:after="0"/>
              <w:rPr>
                <w:sz w:val="20"/>
                <w:szCs w:val="20"/>
                <w:color w:val="auto"/>
              </w:rPr>
            </w:pPr>
            <w:r>
              <w:rPr>
                <w:rFonts w:ascii="Arial" w:cs="Arial" w:eastAsia="Arial" w:hAnsi="Arial"/>
                <w:sz w:val="14"/>
                <w:szCs w:val="14"/>
                <w:b w:val="1"/>
                <w:bCs w:val="1"/>
                <w:color w:val="auto"/>
              </w:rPr>
              <w:t>Minimum 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w w:val="92"/>
              </w:rPr>
              <w:t>Required to be Considered</w:t>
            </w:r>
          </w:p>
        </w:tc>
      </w:tr>
      <w:tr>
        <w:trPr>
          <w:trHeight w:val="175"/>
        </w:trPr>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Actual</w:t>
            </w: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Required - Basel III</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b w:val="1"/>
                <w:bCs w:val="1"/>
                <w:color w:val="auto"/>
              </w:rPr>
              <w:t>Well Capitalized</w:t>
            </w:r>
          </w:p>
        </w:tc>
      </w:tr>
      <w:tr>
        <w:trPr>
          <w:trHeight w:val="198"/>
        </w:trPr>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Ratio</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94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Ratio</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Ratio</w:t>
            </w:r>
          </w:p>
        </w:tc>
      </w:tr>
      <w:tr>
        <w:trPr>
          <w:trHeight w:val="184"/>
        </w:trPr>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4"/>
          </w:tcPr>
          <w:p>
            <w:pPr>
              <w:ind w:left="160"/>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88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Total Capital to Risk-Weighted Assets</w:t>
            </w: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Consolidated</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694,816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525,431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400" w:type="dxa"/>
            <w:vAlign w:val="bottom"/>
          </w:tcPr>
          <w:p>
            <w:pPr>
              <w:ind w:left="160"/>
              <w:spacing w:after="0"/>
              <w:rPr>
                <w:sz w:val="20"/>
                <w:szCs w:val="20"/>
                <w:color w:val="auto"/>
              </w:rPr>
            </w:pPr>
            <w:r>
              <w:rPr>
                <w:rFonts w:ascii="Arial" w:cs="Arial" w:eastAsia="Arial" w:hAnsi="Arial"/>
                <w:sz w:val="14"/>
                <w:szCs w:val="14"/>
                <w:color w:val="auto"/>
              </w:rPr>
              <w:t>Bank</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663,787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525,157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500,150</w:t>
            </w:r>
          </w:p>
        </w:tc>
        <w:tc>
          <w:tcPr>
            <w:tcW w:w="1040" w:type="dxa"/>
            <w:vAlign w:val="bottom"/>
            <w:gridSpan w:val="3"/>
          </w:tcPr>
          <w:p>
            <w:pPr>
              <w:jc w:val="right"/>
              <w:ind w:right="9"/>
              <w:spacing w:after="0"/>
              <w:rPr>
                <w:sz w:val="20"/>
                <w:szCs w:val="20"/>
                <w:color w:val="auto"/>
              </w:rPr>
            </w:pPr>
            <w:r>
              <w:rPr>
                <w:rFonts w:ascii="Arial" w:cs="Arial" w:eastAsia="Arial" w:hAnsi="Arial"/>
                <w:sz w:val="14"/>
                <w:szCs w:val="14"/>
                <w:color w:val="auto"/>
              </w:rPr>
              <w:t>10.0 %</w:t>
            </w:r>
          </w:p>
        </w:tc>
      </w:tr>
      <w:tr>
        <w:trPr>
          <w:trHeight w:val="171"/>
        </w:trPr>
        <w:tc>
          <w:tcPr>
            <w:tcW w:w="40" w:type="dxa"/>
            <w:vAlign w:val="bottom"/>
          </w:tcPr>
          <w:p>
            <w:pPr>
              <w:spacing w:after="0"/>
              <w:rPr>
                <w:sz w:val="14"/>
                <w:szCs w:val="14"/>
                <w:color w:val="auto"/>
              </w:rPr>
            </w:pPr>
          </w:p>
        </w:tc>
        <w:tc>
          <w:tcPr>
            <w:tcW w:w="2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color w:val="auto"/>
              </w:rPr>
              <w:t>Tier I Capital to Risk-Weighted Assets</w:t>
            </w:r>
          </w:p>
        </w:tc>
        <w:tc>
          <w:tcPr>
            <w:tcW w:w="5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140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632,244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425,349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601,248</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425,127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400,120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0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4"/>
              </w:rPr>
              <w:t>Common Equity Tier 1 to Risk-</w:t>
            </w: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8"/>
              </w:rPr>
              <w:t>Weighted Assets</w:t>
            </w: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Consolidated</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631,247</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350,287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400" w:type="dxa"/>
            <w:vAlign w:val="bottom"/>
          </w:tcPr>
          <w:p>
            <w:pPr>
              <w:ind w:left="160"/>
              <w:spacing w:after="0"/>
              <w:rPr>
                <w:sz w:val="20"/>
                <w:szCs w:val="20"/>
                <w:color w:val="auto"/>
              </w:rPr>
            </w:pPr>
            <w:r>
              <w:rPr>
                <w:rFonts w:ascii="Arial" w:cs="Arial" w:eastAsia="Arial" w:hAnsi="Arial"/>
                <w:sz w:val="14"/>
                <w:szCs w:val="14"/>
                <w:color w:val="auto"/>
              </w:rPr>
              <w:t>Bank</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601,248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350,105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325,097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18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w w:val="91"/>
              </w:rPr>
              <w:t>Tier I Capital to Average Assets</w:t>
            </w:r>
          </w:p>
        </w:tc>
        <w:tc>
          <w:tcPr>
            <w:tcW w:w="8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40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632,244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214,865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2"/>
        </w:trPr>
        <w:tc>
          <w:tcPr>
            <w:tcW w:w="40" w:type="dxa"/>
            <w:vAlign w:val="bottom"/>
          </w:tcPr>
          <w:p>
            <w:pPr>
              <w:spacing w:after="0"/>
              <w:rPr>
                <w:sz w:val="15"/>
                <w:szCs w:val="15"/>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601,248</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214,943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268,679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r>
      <w:tr>
        <w:trPr>
          <w:trHeight w:val="181"/>
        </w:trPr>
        <w:tc>
          <w:tcPr>
            <w:tcW w:w="4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color w:val="auto"/>
              </w:rPr>
              <w:t>Total Capital to Risk-Weighted Assets</w:t>
            </w:r>
          </w:p>
        </w:tc>
        <w:tc>
          <w:tcPr>
            <w:tcW w:w="5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140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656,806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9"/>
              <w:spacing w:after="0"/>
              <w:rPr>
                <w:sz w:val="20"/>
                <w:szCs w:val="20"/>
                <w:color w:val="auto"/>
              </w:rPr>
            </w:pPr>
            <w:r>
              <w:rPr>
                <w:rFonts w:ascii="Arial" w:cs="Arial" w:eastAsia="Arial" w:hAnsi="Arial"/>
                <w:sz w:val="14"/>
                <w:szCs w:val="14"/>
                <w:color w:val="auto"/>
              </w:rPr>
              <w:t>13.1 %</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ind w:left="240"/>
              <w:spacing w:after="0"/>
              <w:rPr>
                <w:sz w:val="20"/>
                <w:szCs w:val="20"/>
                <w:color w:val="auto"/>
              </w:rPr>
            </w:pPr>
            <w:r>
              <w:rPr>
                <w:rFonts w:ascii="Arial" w:cs="Arial" w:eastAsia="Arial" w:hAnsi="Arial"/>
                <w:sz w:val="14"/>
                <w:szCs w:val="14"/>
                <w:color w:val="auto"/>
              </w:rPr>
              <w:t>527,486</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10.5 %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611,533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527,217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502,111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r>
      <w:tr>
        <w:trPr>
          <w:trHeight w:val="181"/>
        </w:trPr>
        <w:tc>
          <w:tcPr>
            <w:tcW w:w="40" w:type="dxa"/>
            <w:vAlign w:val="bottom"/>
          </w:tcPr>
          <w:p>
            <w:pPr>
              <w:spacing w:after="0"/>
              <w:rPr>
                <w:sz w:val="15"/>
                <w:szCs w:val="15"/>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4"/>
              </w:rPr>
              <w:t>Tier I Capital to Risk-Weighted</w:t>
            </w: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Assets</w:t>
            </w:r>
          </w:p>
        </w:tc>
        <w:tc>
          <w:tcPr>
            <w:tcW w:w="260" w:type="dxa"/>
            <w:vAlign w:val="bottom"/>
            <w:tcBorders>
              <w:bottom w:val="single" w:sz="8" w:color="auto"/>
            </w:tcBorders>
            <w:gridSpan w:val="2"/>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Consolidated</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593,865</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427,012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400" w:type="dxa"/>
            <w:vAlign w:val="bottom"/>
          </w:tcPr>
          <w:p>
            <w:pPr>
              <w:ind w:left="160"/>
              <w:spacing w:after="0"/>
              <w:rPr>
                <w:sz w:val="20"/>
                <w:szCs w:val="20"/>
                <w:color w:val="auto"/>
              </w:rPr>
            </w:pPr>
            <w:r>
              <w:rPr>
                <w:rFonts w:ascii="Arial" w:cs="Arial" w:eastAsia="Arial" w:hAnsi="Arial"/>
                <w:sz w:val="14"/>
                <w:szCs w:val="14"/>
                <w:color w:val="auto"/>
              </w:rPr>
              <w:t>Bank</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548,615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426,794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401,689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color w:val="auto"/>
                <w:w w:val="96"/>
              </w:rPr>
              <w:t>Common Equity Tier 1 to Risk-Weighted Assets</w:t>
            </w:r>
          </w:p>
        </w:tc>
        <w:tc>
          <w:tcPr>
            <w:tcW w:w="5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40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592,902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351,657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2"/>
        </w:trPr>
        <w:tc>
          <w:tcPr>
            <w:tcW w:w="40" w:type="dxa"/>
            <w:vAlign w:val="bottom"/>
          </w:tcPr>
          <w:p>
            <w:pPr>
              <w:spacing w:after="0"/>
              <w:rPr>
                <w:sz w:val="15"/>
                <w:szCs w:val="15"/>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548,615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351,478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326,372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00" w:type="dxa"/>
            <w:vAlign w:val="bottom"/>
            <w:shd w:val="clear" w:color="auto" w:fill="CCEEFF"/>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1"/>
              </w:rPr>
              <w:t>Tier I Capital to Average Assets</w:t>
            </w: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1400" w:type="dxa"/>
            <w:vAlign w:val="bottom"/>
            <w:shd w:val="clear" w:color="auto" w:fill="CCEEFF"/>
          </w:tcPr>
          <w:p>
            <w:pPr>
              <w:ind w:left="200"/>
              <w:spacing w:after="0" w:line="152" w:lineRule="exact"/>
              <w:rPr>
                <w:sz w:val="20"/>
                <w:szCs w:val="20"/>
                <w:color w:val="auto"/>
              </w:rPr>
            </w:pPr>
            <w:r>
              <w:rPr>
                <w:rFonts w:ascii="Arial" w:cs="Arial" w:eastAsia="Arial" w:hAnsi="Arial"/>
                <w:sz w:val="14"/>
                <w:szCs w:val="14"/>
                <w:color w:val="auto"/>
              </w:rPr>
              <w:t>Consolidated</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593,865</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10.8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ind w:left="240"/>
              <w:spacing w:after="0" w:line="152" w:lineRule="exact"/>
              <w:rPr>
                <w:sz w:val="20"/>
                <w:szCs w:val="20"/>
                <w:color w:val="auto"/>
              </w:rPr>
            </w:pPr>
            <w:r>
              <w:rPr>
                <w:rFonts w:ascii="Arial" w:cs="Arial" w:eastAsia="Arial" w:hAnsi="Arial"/>
                <w:sz w:val="14"/>
                <w:szCs w:val="14"/>
                <w:color w:val="auto"/>
              </w:rPr>
              <w:t>219,550</w:t>
            </w:r>
          </w:p>
        </w:tc>
        <w:tc>
          <w:tcPr>
            <w:tcW w:w="84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9"/>
              <w:spacing w:after="0" w:line="152" w:lineRule="exact"/>
              <w:rPr>
                <w:sz w:val="20"/>
                <w:szCs w:val="20"/>
                <w:color w:val="auto"/>
              </w:rPr>
            </w:pPr>
            <w:r>
              <w:rPr>
                <w:rFonts w:ascii="Arial" w:cs="Arial" w:eastAsia="Arial" w:hAnsi="Arial"/>
                <w:sz w:val="14"/>
                <w:szCs w:val="14"/>
                <w:color w:val="auto"/>
              </w:rPr>
              <w:t>N/A</w:t>
            </w:r>
          </w:p>
        </w:tc>
      </w:tr>
      <w:tr>
        <w:trPr>
          <w:trHeight w:val="191"/>
        </w:trPr>
        <w:tc>
          <w:tcPr>
            <w:tcW w:w="40" w:type="dxa"/>
            <w:vAlign w:val="bottom"/>
          </w:tcPr>
          <w:p>
            <w:pPr>
              <w:spacing w:after="0"/>
              <w:rPr>
                <w:sz w:val="16"/>
                <w:szCs w:val="16"/>
                <w:color w:val="auto"/>
              </w:rPr>
            </w:pPr>
          </w:p>
        </w:tc>
        <w:tc>
          <w:tcPr>
            <w:tcW w:w="1400" w:type="dxa"/>
            <w:vAlign w:val="bottom"/>
          </w:tcPr>
          <w:p>
            <w:pPr>
              <w:ind w:left="160"/>
              <w:spacing w:after="0"/>
              <w:rPr>
                <w:sz w:val="20"/>
                <w:szCs w:val="20"/>
                <w:color w:val="auto"/>
              </w:rPr>
            </w:pPr>
            <w:r>
              <w:rPr>
                <w:rFonts w:ascii="Arial" w:cs="Arial" w:eastAsia="Arial" w:hAnsi="Arial"/>
                <w:sz w:val="14"/>
                <w:szCs w:val="14"/>
                <w:color w:val="auto"/>
              </w:rPr>
              <w:t>Bank</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548,615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9"/>
              <w:spacing w:after="0"/>
              <w:rPr>
                <w:sz w:val="20"/>
                <w:szCs w:val="20"/>
                <w:color w:val="auto"/>
              </w:rPr>
            </w:pPr>
            <w:r>
              <w:rPr>
                <w:rFonts w:ascii="Arial" w:cs="Arial" w:eastAsia="Arial" w:hAnsi="Arial"/>
                <w:sz w:val="14"/>
                <w:szCs w:val="14"/>
                <w:color w:val="auto"/>
              </w:rPr>
              <w:t>10.0 %</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ind w:left="240"/>
              <w:spacing w:after="0"/>
              <w:rPr>
                <w:sz w:val="20"/>
                <w:szCs w:val="20"/>
                <w:color w:val="auto"/>
              </w:rPr>
            </w:pPr>
            <w:r>
              <w:rPr>
                <w:rFonts w:ascii="Arial" w:cs="Arial" w:eastAsia="Arial" w:hAnsi="Arial"/>
                <w:sz w:val="14"/>
                <w:szCs w:val="14"/>
                <w:color w:val="auto"/>
              </w:rPr>
              <w:t>219,441</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4.0 %</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274,302</w:t>
            </w:r>
          </w:p>
        </w:tc>
        <w:tc>
          <w:tcPr>
            <w:tcW w:w="1040" w:type="dxa"/>
            <w:vAlign w:val="bottom"/>
            <w:gridSpan w:val="3"/>
          </w:tcPr>
          <w:p>
            <w:pPr>
              <w:jc w:val="right"/>
              <w:ind w:right="9"/>
              <w:spacing w:after="0"/>
              <w:rPr>
                <w:sz w:val="20"/>
                <w:szCs w:val="20"/>
                <w:color w:val="auto"/>
              </w:rPr>
            </w:pPr>
            <w:r>
              <w:rPr>
                <w:rFonts w:ascii="Arial" w:cs="Arial" w:eastAsia="Arial" w:hAnsi="Arial"/>
                <w:sz w:val="14"/>
                <w:szCs w:val="14"/>
                <w:color w:val="auto"/>
              </w:rPr>
              <w:t>5.0 %</w:t>
            </w:r>
          </w:p>
        </w:tc>
      </w:tr>
    </w:tbl>
    <w:p>
      <w:pPr>
        <w:spacing w:after="0" w:line="14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177" w:lineRule="exact"/>
        <w:rPr>
          <w:sz w:val="20"/>
          <w:szCs w:val="20"/>
          <w:color w:val="auto"/>
        </w:rPr>
      </w:pPr>
    </w:p>
    <w:p>
      <w:pPr>
        <w:ind w:left="660" w:right="579" w:firstLine="395"/>
        <w:spacing w:after="0" w:line="330" w:lineRule="auto"/>
        <w:rPr>
          <w:sz w:val="20"/>
          <w:szCs w:val="20"/>
          <w:color w:val="auto"/>
        </w:rPr>
      </w:pPr>
      <w:r>
        <w:rPr>
          <w:rFonts w:ascii="Arial" w:cs="Arial" w:eastAsia="Arial" w:hAnsi="Arial"/>
          <w:sz w:val="13"/>
          <w:szCs w:val="13"/>
          <w:color w:val="auto"/>
        </w:rPr>
        <w:t>The Company issues stock-based compensation in the form of nonvested restricted stock and stock appreciation rights under the 2018 Omnibus Equity Incentive Plan (“Omnibus Plan”). The Omnibus Plan will expire on the tenth anniversary of its effective date. In addition, the Company has an Employee Stock Purchase Plan that was reinstated during the third quarter of 2020. The aggregate number of shares authorized for future issuance under the Omnibus Plan is 1,774,321 shares as of September 30, 2021.</w:t>
      </w:r>
    </w:p>
    <w:p>
      <w:pPr>
        <w:spacing w:after="0" w:line="95"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The table below summarizes the stock-based compensation for the three- and nine-month periods ended September 30, 2021 and</w:t>
      </w:r>
    </w:p>
    <w:p>
      <w:pPr>
        <w:spacing w:after="0" w:line="54" w:lineRule="exact"/>
        <w:rPr>
          <w:sz w:val="20"/>
          <w:szCs w:val="20"/>
          <w:color w:val="auto"/>
        </w:rPr>
      </w:pPr>
    </w:p>
    <w:tbl>
      <w:tblPr>
        <w:tblLayout w:type="fixed"/>
        <w:tblInd w:w="620" w:type="dxa"/>
        <w:tblCellMar>
          <w:top w:w="0" w:type="dxa"/>
          <w:left w:w="0" w:type="dxa"/>
          <w:bottom w:w="0" w:type="dxa"/>
          <w:right w:w="0" w:type="dxa"/>
        </w:tblCellMar>
      </w:tblPr>
      <w:tr>
        <w:trPr>
          <w:trHeight w:val="181"/>
        </w:trPr>
        <w:tc>
          <w:tcPr>
            <w:tcW w:w="2920" w:type="dxa"/>
            <w:vAlign w:val="bottom"/>
            <w:gridSpan w:val="2"/>
          </w:tcPr>
          <w:p>
            <w:pPr>
              <w:jc w:val="right"/>
              <w:ind w:right="2509"/>
              <w:spacing w:after="0"/>
              <w:rPr>
                <w:sz w:val="20"/>
                <w:szCs w:val="20"/>
                <w:color w:val="auto"/>
              </w:rPr>
            </w:pPr>
            <w:r>
              <w:rPr>
                <w:rFonts w:ascii="Arial" w:cs="Arial" w:eastAsia="Arial" w:hAnsi="Arial"/>
                <w:sz w:val="14"/>
                <w:szCs w:val="14"/>
                <w:color w:val="auto"/>
                <w:w w:val="91"/>
              </w:rPr>
              <w:t>2020:</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9"/>
        </w:trPr>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right"/>
              <w:ind w:right="309"/>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489"/>
              <w:spacing w:after="0"/>
              <w:rPr>
                <w:sz w:val="20"/>
                <w:szCs w:val="20"/>
                <w:color w:val="auto"/>
              </w:rPr>
            </w:pPr>
            <w:r>
              <w:rPr>
                <w:rFonts w:ascii="Arial" w:cs="Arial" w:eastAsia="Arial" w:hAnsi="Arial"/>
                <w:sz w:val="14"/>
                <w:szCs w:val="14"/>
                <w:b w:val="1"/>
                <w:bCs w:val="1"/>
                <w:color w:val="auto"/>
              </w:rPr>
              <w:t>September 30,</w:t>
            </w:r>
          </w:p>
        </w:tc>
      </w:tr>
      <w:tr>
        <w:trPr>
          <w:trHeight w:val="162"/>
        </w:trPr>
        <w:tc>
          <w:tcPr>
            <w:tcW w:w="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r>
      <w:tr>
        <w:trPr>
          <w:trHeight w:val="167"/>
        </w:trPr>
        <w:tc>
          <w:tcPr>
            <w:tcW w:w="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right"/>
              <w:ind w:right="349"/>
              <w:spacing w:after="0"/>
              <w:rPr>
                <w:sz w:val="20"/>
                <w:szCs w:val="20"/>
                <w:color w:val="auto"/>
              </w:rPr>
            </w:pPr>
            <w:r>
              <w:rPr>
                <w:rFonts w:ascii="Arial" w:cs="Arial" w:eastAsia="Arial" w:hAnsi="Arial"/>
                <w:sz w:val="13"/>
                <w:szCs w:val="13"/>
                <w:i w:val="1"/>
                <w:iCs w:val="1"/>
                <w:color w:val="auto"/>
              </w:rPr>
              <w:t>(Dollars in thousands)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7"/>
        </w:trPr>
        <w:tc>
          <w:tcPr>
            <w:tcW w:w="40" w:type="dxa"/>
            <w:vAlign w:val="bottom"/>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Stock appreciation rights</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150</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250</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584</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744</w:t>
            </w:r>
          </w:p>
        </w:tc>
      </w:tr>
      <w:tr>
        <w:trPr>
          <w:trHeight w:val="181"/>
        </w:trPr>
        <w:tc>
          <w:tcPr>
            <w:tcW w:w="40" w:type="dxa"/>
            <w:vAlign w:val="bottom"/>
          </w:tcPr>
          <w:p>
            <w:pPr>
              <w:spacing w:after="0"/>
              <w:rPr>
                <w:sz w:val="15"/>
                <w:szCs w:val="15"/>
                <w:color w:val="auto"/>
              </w:rPr>
            </w:pPr>
          </w:p>
        </w:tc>
        <w:tc>
          <w:tcPr>
            <w:tcW w:w="2880" w:type="dxa"/>
            <w:vAlign w:val="bottom"/>
          </w:tcPr>
          <w:p>
            <w:pPr>
              <w:spacing w:after="0"/>
              <w:rPr>
                <w:sz w:val="20"/>
                <w:szCs w:val="20"/>
                <w:color w:val="auto"/>
              </w:rPr>
            </w:pPr>
            <w:r>
              <w:rPr>
                <w:rFonts w:ascii="Arial" w:cs="Arial" w:eastAsia="Arial" w:hAnsi="Arial"/>
                <w:sz w:val="14"/>
                <w:szCs w:val="14"/>
                <w:color w:val="auto"/>
              </w:rPr>
              <w:t>Performance-based stock awards</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75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79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337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175</w:t>
            </w:r>
          </w:p>
        </w:tc>
      </w:tr>
      <w:tr>
        <w:trPr>
          <w:trHeight w:val="182"/>
        </w:trPr>
        <w:tc>
          <w:tcPr>
            <w:tcW w:w="40" w:type="dxa"/>
            <w:vAlign w:val="bottom"/>
          </w:tcPr>
          <w:p>
            <w:pPr>
              <w:spacing w:after="0"/>
              <w:rPr>
                <w:sz w:val="15"/>
                <w:szCs w:val="15"/>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 and awards</w:t>
            </w: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857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2,394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2,283</w:t>
            </w:r>
          </w:p>
        </w:tc>
      </w:tr>
      <w:tr>
        <w:trPr>
          <w:trHeight w:val="171"/>
        </w:trPr>
        <w:tc>
          <w:tcPr>
            <w:tcW w:w="4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w:t>
            </w: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stock-based compensation</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1,149</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1,207</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3,373</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3,223</w:t>
            </w:r>
          </w:p>
        </w:tc>
      </w:tr>
      <w:tr>
        <w:trPr>
          <w:trHeight w:val="20"/>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675"/>
        </w:trPr>
        <w:tc>
          <w:tcPr>
            <w:tcW w:w="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color w:val="auto"/>
              </w:rPr>
              <w:t>32</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9019"/>
          </w:cols>
          <w:pgMar w:left="1440" w:top="459" w:right="1440" w:bottom="1440" w:gutter="0" w:footer="0" w:header="0"/>
        </w:sectPr>
      </w:pPr>
    </w:p>
    <w:bookmarkStart w:id="32" w:name="page33"/>
    <w:bookmarkEnd w:id="32"/>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0"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Performance-Based Stock Awards (“PBSAs”)</w:t>
      </w:r>
    </w:p>
    <w:p>
      <w:pPr>
        <w:spacing w:after="0" w:line="161" w:lineRule="exact"/>
        <w:rPr>
          <w:sz w:val="20"/>
          <w:szCs w:val="20"/>
          <w:color w:val="auto"/>
        </w:rPr>
      </w:pPr>
    </w:p>
    <w:p>
      <w:pPr>
        <w:jc w:val="both"/>
        <w:ind w:left="660" w:right="839" w:firstLine="384"/>
        <w:spacing w:after="0" w:line="345" w:lineRule="auto"/>
        <w:rPr>
          <w:sz w:val="20"/>
          <w:szCs w:val="20"/>
          <w:color w:val="auto"/>
        </w:rPr>
      </w:pPr>
      <w:r>
        <w:rPr>
          <w:rFonts w:ascii="Arial" w:cs="Arial" w:eastAsia="Arial" w:hAnsi="Arial"/>
          <w:sz w:val="12"/>
          <w:szCs w:val="12"/>
          <w:color w:val="auto"/>
        </w:rPr>
        <w:t xml:space="preserve">The Company awards PBSAs to key officers of the Company. The performance-based shares typically cliff-vest at the end of </w:t>
      </w:r>
      <w:r>
        <w:rPr>
          <w:rFonts w:ascii="Arial" w:cs="Arial" w:eastAsia="Arial" w:hAnsi="Arial"/>
          <w:sz w:val="13"/>
          <w:szCs w:val="13"/>
          <w:color w:val="auto"/>
        </w:rPr>
        <w:t>three years</w:t>
      </w:r>
      <w:r>
        <w:rPr>
          <w:rFonts w:ascii="Arial" w:cs="Arial" w:eastAsia="Arial" w:hAnsi="Arial"/>
          <w:sz w:val="12"/>
          <w:szCs w:val="12"/>
          <w:color w:val="auto"/>
        </w:rPr>
        <w:t>based on attainment of certain performance metrics developed by the Compensation Committee. The ultimate number of</w:t>
      </w:r>
      <w:r>
        <w:rPr>
          <w:rFonts w:ascii="Arial" w:cs="Arial" w:eastAsia="Arial" w:hAnsi="Arial"/>
          <w:sz w:val="13"/>
          <w:szCs w:val="13"/>
          <w:color w:val="auto"/>
        </w:rPr>
        <w:t xml:space="preserve"> </w:t>
      </w:r>
      <w:r>
        <w:rPr>
          <w:rFonts w:ascii="Arial" w:cs="Arial" w:eastAsia="Arial" w:hAnsi="Arial"/>
          <w:sz w:val="12"/>
          <w:szCs w:val="12"/>
          <w:color w:val="auto"/>
        </w:rPr>
        <w:t>shares issuable under each performance award is the product of the award target and the award payout percentage given the level of achievement. The award payout percentages by level of achievement range between 0% of target and 150% of target.</w:t>
      </w:r>
    </w:p>
    <w:p>
      <w:pPr>
        <w:spacing w:after="0" w:line="91" w:lineRule="exact"/>
        <w:rPr>
          <w:sz w:val="20"/>
          <w:szCs w:val="20"/>
          <w:color w:val="auto"/>
        </w:rPr>
      </w:pPr>
    </w:p>
    <w:p>
      <w:pPr>
        <w:ind w:left="660" w:right="599" w:firstLine="384"/>
        <w:spacing w:after="0" w:line="315" w:lineRule="auto"/>
        <w:rPr>
          <w:sz w:val="20"/>
          <w:szCs w:val="20"/>
          <w:color w:val="auto"/>
        </w:rPr>
      </w:pPr>
      <w:r>
        <w:rPr>
          <w:rFonts w:ascii="Arial" w:cs="Arial" w:eastAsia="Arial" w:hAnsi="Arial"/>
          <w:sz w:val="14"/>
          <w:szCs w:val="14"/>
          <w:color w:val="auto"/>
        </w:rPr>
        <w:t xml:space="preserve">During the nine-month period ended September 30, 2021, the Company granted 63,631 PBSAs. The performance metrics include </w:t>
      </w:r>
      <w:r>
        <w:rPr>
          <w:rFonts w:ascii="Arial" w:cs="Arial" w:eastAsia="Arial" w:hAnsi="Arial"/>
          <w:sz w:val="15"/>
          <w:szCs w:val="15"/>
          <w:color w:val="auto"/>
        </w:rPr>
        <w:t>three year</w:t>
      </w:r>
      <w:r>
        <w:rPr>
          <w:rFonts w:ascii="Arial" w:cs="Arial" w:eastAsia="Arial" w:hAnsi="Arial"/>
          <w:sz w:val="14"/>
          <w:szCs w:val="14"/>
          <w:color w:val="auto"/>
        </w:rPr>
        <w:t>cumulative, adjusted earnings per share and relative total shareholder return.</w:t>
      </w:r>
    </w:p>
    <w:p>
      <w:pPr>
        <w:spacing w:after="0" w:line="8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table summarizes the status of and changes in the performance-based awards:</w:t>
      </w:r>
    </w:p>
    <w:p>
      <w:pPr>
        <w:spacing w:after="0" w:line="80"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Performance-Based Awards</w:t>
            </w:r>
          </w:p>
        </w:tc>
      </w:tr>
      <w:tr>
        <w:trPr>
          <w:trHeight w:val="253"/>
        </w:trPr>
        <w:tc>
          <w:tcPr>
            <w:tcW w:w="4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tcPr>
          <w:p>
            <w:pPr>
              <w:jc w:val="right"/>
              <w:ind w:right="129"/>
              <w:spacing w:after="0"/>
              <w:rPr>
                <w:sz w:val="20"/>
                <w:szCs w:val="20"/>
                <w:color w:val="auto"/>
              </w:rPr>
            </w:pPr>
            <w:r>
              <w:rPr>
                <w:rFonts w:ascii="Arial" w:cs="Arial" w:eastAsia="Arial" w:hAnsi="Arial"/>
                <w:sz w:val="14"/>
                <w:szCs w:val="14"/>
                <w:b w:val="1"/>
                <w:bCs w:val="1"/>
                <w:color w:val="auto"/>
                <w:w w:val="94"/>
              </w:rPr>
              <w:t>Weighted-Average</w:t>
            </w:r>
          </w:p>
        </w:tc>
      </w:tr>
      <w:tr>
        <w:trPr>
          <w:trHeight w:val="184"/>
        </w:trPr>
        <w:tc>
          <w:tcPr>
            <w:tcW w:w="40" w:type="dxa"/>
            <w:vAlign w:val="bottom"/>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6"/>
              </w:rPr>
              <w:t>Number of Shares</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Grant Date Fair Value</w:t>
            </w:r>
          </w:p>
        </w:tc>
      </w:tr>
      <w:tr>
        <w:trPr>
          <w:trHeight w:val="184"/>
        </w:trPr>
        <w:tc>
          <w:tcPr>
            <w:tcW w:w="40" w:type="dxa"/>
            <w:vAlign w:val="bottom"/>
          </w:tcPr>
          <w:p>
            <w:pPr>
              <w:spacing w:after="0"/>
              <w:rPr>
                <w:sz w:val="16"/>
                <w:szCs w:val="16"/>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January 1, 2021</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231,631</w:t>
            </w:r>
          </w:p>
        </w:tc>
        <w:tc>
          <w:tcPr>
            <w:tcW w:w="1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10.51</w:t>
            </w:r>
          </w:p>
        </w:tc>
      </w:tr>
      <w:tr>
        <w:trPr>
          <w:trHeight w:val="213"/>
        </w:trPr>
        <w:tc>
          <w:tcPr>
            <w:tcW w:w="40" w:type="dxa"/>
            <w:vAlign w:val="bottom"/>
          </w:tcPr>
          <w:p>
            <w:pPr>
              <w:spacing w:after="0"/>
              <w:rPr>
                <w:sz w:val="18"/>
                <w:szCs w:val="18"/>
                <w:color w:val="auto"/>
              </w:rPr>
            </w:pPr>
          </w:p>
        </w:tc>
        <w:tc>
          <w:tcPr>
            <w:tcW w:w="4960" w:type="dxa"/>
            <w:vAlign w:val="bottom"/>
            <w:gridSpan w:val="2"/>
          </w:tcPr>
          <w:p>
            <w:pPr>
              <w:ind w:left="60"/>
              <w:spacing w:after="0"/>
              <w:rPr>
                <w:sz w:val="20"/>
                <w:szCs w:val="20"/>
                <w:color w:val="auto"/>
              </w:rPr>
            </w:pPr>
            <w:r>
              <w:rPr>
                <w:rFonts w:ascii="Arial" w:cs="Arial" w:eastAsia="Arial" w:hAnsi="Arial"/>
                <w:sz w:val="14"/>
                <w:szCs w:val="14"/>
                <w:color w:val="auto"/>
              </w:rPr>
              <w:t>Granted</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63,631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12.89</w:t>
            </w:r>
          </w:p>
        </w:tc>
      </w:tr>
      <w:tr>
        <w:trPr>
          <w:trHeight w:val="213"/>
        </w:trPr>
        <w:tc>
          <w:tcPr>
            <w:tcW w:w="40" w:type="dxa"/>
            <w:vAlign w:val="bottom"/>
          </w:tcPr>
          <w:p>
            <w:pPr>
              <w:spacing w:after="0"/>
              <w:rPr>
                <w:sz w:val="18"/>
                <w:szCs w:val="18"/>
                <w:color w:val="auto"/>
              </w:rPr>
            </w:pP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Incremental performance shares</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r>
      <w:tr>
        <w:trPr>
          <w:trHeight w:val="213"/>
        </w:trPr>
        <w:tc>
          <w:tcPr>
            <w:tcW w:w="40" w:type="dxa"/>
            <w:vAlign w:val="bottom"/>
          </w:tcPr>
          <w:p>
            <w:pPr>
              <w:spacing w:after="0"/>
              <w:rPr>
                <w:sz w:val="18"/>
                <w:szCs w:val="18"/>
                <w:color w:val="auto"/>
              </w:rPr>
            </w:pPr>
          </w:p>
        </w:tc>
        <w:tc>
          <w:tcPr>
            <w:tcW w:w="4960" w:type="dxa"/>
            <w:vAlign w:val="bottom"/>
            <w:gridSpan w:val="2"/>
          </w:tcPr>
          <w:p>
            <w:pPr>
              <w:ind w:left="60"/>
              <w:spacing w:after="0"/>
              <w:rPr>
                <w:sz w:val="20"/>
                <w:szCs w:val="20"/>
                <w:color w:val="auto"/>
              </w:rPr>
            </w:pPr>
            <w:r>
              <w:rPr>
                <w:rFonts w:ascii="Arial" w:cs="Arial" w:eastAsia="Arial" w:hAnsi="Arial"/>
                <w:sz w:val="14"/>
                <w:szCs w:val="14"/>
                <w:color w:val="auto"/>
              </w:rPr>
              <w:t>Vested</w:t>
            </w:r>
          </w:p>
        </w:tc>
        <w:tc>
          <w:tcPr>
            <w:tcW w:w="1320" w:type="dxa"/>
            <w:vAlign w:val="bottom"/>
          </w:tcPr>
          <w:p>
            <w:pPr>
              <w:jc w:val="right"/>
              <w:spacing w:after="0"/>
              <w:rPr>
                <w:sz w:val="20"/>
                <w:szCs w:val="20"/>
                <w:color w:val="auto"/>
              </w:rPr>
            </w:pPr>
            <w:r>
              <w:rPr>
                <w:rFonts w:ascii="Arial" w:cs="Arial" w:eastAsia="Arial" w:hAnsi="Arial"/>
                <w:sz w:val="14"/>
                <w:szCs w:val="14"/>
                <w:color w:val="auto"/>
              </w:rPr>
              <w:t>(77,426)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11.31</w:t>
            </w:r>
          </w:p>
        </w:tc>
      </w:tr>
      <w:tr>
        <w:trPr>
          <w:trHeight w:val="213"/>
        </w:trPr>
        <w:tc>
          <w:tcPr>
            <w:tcW w:w="40" w:type="dxa"/>
            <w:vAlign w:val="bottom"/>
          </w:tcPr>
          <w:p>
            <w:pPr>
              <w:spacing w:after="0"/>
              <w:rPr>
                <w:sz w:val="18"/>
                <w:szCs w:val="18"/>
                <w:color w:val="auto"/>
              </w:rPr>
            </w:pP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Forfeited</w:t>
            </w:r>
          </w:p>
        </w:tc>
        <w:tc>
          <w:tcPr>
            <w:tcW w:w="1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204"/>
        </w:trPr>
        <w:tc>
          <w:tcPr>
            <w:tcW w:w="5000" w:type="dxa"/>
            <w:vAlign w:val="bottom"/>
            <w:gridSpan w:val="3"/>
          </w:tcPr>
          <w:p>
            <w:pPr>
              <w:spacing w:after="0"/>
              <w:rPr>
                <w:sz w:val="20"/>
                <w:szCs w:val="20"/>
                <w:color w:val="auto"/>
              </w:rPr>
            </w:pPr>
            <w:r>
              <w:rPr>
                <w:rFonts w:ascii="Arial" w:cs="Arial" w:eastAsia="Arial" w:hAnsi="Arial"/>
                <w:sz w:val="14"/>
                <w:szCs w:val="14"/>
                <w:color w:val="auto"/>
              </w:rPr>
              <w:t>Unvested, September 30, 2021</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220,260</w:t>
            </w:r>
          </w:p>
        </w:tc>
        <w:tc>
          <w:tcPr>
            <w:tcW w:w="140" w:type="dxa"/>
            <w:vAlign w:val="bottom"/>
            <w:gridSpan w:val="3"/>
          </w:tcPr>
          <w:p>
            <w:pPr>
              <w:jc w:val="center"/>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10.90</w:t>
            </w:r>
          </w:p>
        </w:tc>
      </w:tr>
      <w:tr>
        <w:trPr>
          <w:trHeight w:val="20"/>
        </w:trPr>
        <w:tc>
          <w:tcPr>
            <w:tcW w:w="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660" w:right="1039" w:firstLine="395"/>
        <w:spacing w:after="0" w:line="316" w:lineRule="auto"/>
        <w:rPr>
          <w:sz w:val="20"/>
          <w:szCs w:val="20"/>
          <w:color w:val="auto"/>
        </w:rPr>
      </w:pPr>
      <w:r>
        <w:rPr>
          <w:rFonts w:ascii="Arial" w:cs="Arial" w:eastAsia="Arial" w:hAnsi="Arial"/>
          <w:sz w:val="14"/>
          <w:szCs w:val="14"/>
          <w:color w:val="auto"/>
        </w:rPr>
        <w:t>Unrecognized stock-based compensation related to the performance awards issued through September 30, 2021 was $678 thousand and is expected to be recognized over 2.4 years.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Restricted Stock Units (“RSUs”) and Restricted Stock Awards (“RSAs”)</w:t>
      </w:r>
    </w:p>
    <w:p>
      <w:pPr>
        <w:spacing w:after="0" w:line="161" w:lineRule="exact"/>
        <w:rPr>
          <w:sz w:val="20"/>
          <w:szCs w:val="20"/>
          <w:color w:val="auto"/>
        </w:rPr>
      </w:pPr>
    </w:p>
    <w:p>
      <w:pPr>
        <w:ind w:left="660" w:right="579" w:firstLine="395"/>
        <w:spacing w:after="0" w:line="309" w:lineRule="auto"/>
        <w:rPr>
          <w:sz w:val="20"/>
          <w:szCs w:val="20"/>
          <w:color w:val="auto"/>
        </w:rPr>
      </w:pPr>
      <w:r>
        <w:rPr>
          <w:rFonts w:ascii="Arial" w:cs="Arial" w:eastAsia="Arial" w:hAnsi="Arial"/>
          <w:sz w:val="14"/>
          <w:szCs w:val="14"/>
          <w:color w:val="auto"/>
        </w:rPr>
        <w:t>The Company issues RSUs and RSAs to provide incentives to key officers, employees, and nonemployee directors. Awards are typically granted annually as determined by the Compensation Committee. The service-based RSUs typically vest in equal amounts over three years. The service-based RSAs typically cliff-vest after one year.</w:t>
      </w:r>
    </w:p>
    <w:p>
      <w:pPr>
        <w:spacing w:after="0" w:line="93"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table summarizes the status of and changes in the RSUs and RSAs:</w:t>
      </w:r>
    </w:p>
    <w:p>
      <w:pPr>
        <w:spacing w:after="0" w:line="91"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Restricted Stock Units and Awards</w:t>
            </w:r>
          </w:p>
        </w:tc>
      </w:tr>
      <w:tr>
        <w:trPr>
          <w:trHeight w:val="253"/>
        </w:trPr>
        <w:tc>
          <w:tcPr>
            <w:tcW w:w="4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tcPr>
          <w:p>
            <w:pPr>
              <w:jc w:val="right"/>
              <w:ind w:right="129"/>
              <w:spacing w:after="0"/>
              <w:rPr>
                <w:sz w:val="20"/>
                <w:szCs w:val="20"/>
                <w:color w:val="auto"/>
              </w:rPr>
            </w:pPr>
            <w:r>
              <w:rPr>
                <w:rFonts w:ascii="Arial" w:cs="Arial" w:eastAsia="Arial" w:hAnsi="Arial"/>
                <w:sz w:val="14"/>
                <w:szCs w:val="14"/>
                <w:b w:val="1"/>
                <w:bCs w:val="1"/>
                <w:color w:val="auto"/>
                <w:w w:val="94"/>
              </w:rPr>
              <w:t>Weighted-Average</w:t>
            </w:r>
          </w:p>
        </w:tc>
      </w:tr>
      <w:tr>
        <w:trPr>
          <w:trHeight w:val="184"/>
        </w:trPr>
        <w:tc>
          <w:tcPr>
            <w:tcW w:w="40" w:type="dxa"/>
            <w:vAlign w:val="bottom"/>
          </w:tcPr>
          <w:p>
            <w:pPr>
              <w:spacing w:after="0"/>
              <w:rPr>
                <w:sz w:val="16"/>
                <w:szCs w:val="16"/>
                <w:color w:val="auto"/>
              </w:rPr>
            </w:pPr>
          </w:p>
        </w:tc>
        <w:tc>
          <w:tcPr>
            <w:tcW w:w="4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6"/>
              </w:rPr>
              <w:t>Number of Shares</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Grant Date Fair Value</w:t>
            </w:r>
          </w:p>
        </w:tc>
      </w:tr>
      <w:tr>
        <w:trPr>
          <w:trHeight w:val="184"/>
        </w:trPr>
        <w:tc>
          <w:tcPr>
            <w:tcW w:w="40" w:type="dxa"/>
            <w:vAlign w:val="bottom"/>
          </w:tcPr>
          <w:p>
            <w:pPr>
              <w:spacing w:after="0"/>
              <w:rPr>
                <w:sz w:val="16"/>
                <w:szCs w:val="16"/>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January 1, 2021</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369,217</w:t>
            </w:r>
          </w:p>
        </w:tc>
        <w:tc>
          <w:tcPr>
            <w:tcW w:w="1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12.61</w:t>
            </w:r>
          </w:p>
        </w:tc>
      </w:tr>
      <w:tr>
        <w:trPr>
          <w:trHeight w:val="213"/>
        </w:trPr>
        <w:tc>
          <w:tcPr>
            <w:tcW w:w="40" w:type="dxa"/>
            <w:vAlign w:val="bottom"/>
          </w:tcPr>
          <w:p>
            <w:pPr>
              <w:spacing w:after="0"/>
              <w:rPr>
                <w:sz w:val="18"/>
                <w:szCs w:val="18"/>
                <w:color w:val="auto"/>
              </w:rPr>
            </w:pPr>
          </w:p>
        </w:tc>
        <w:tc>
          <w:tcPr>
            <w:tcW w:w="4960" w:type="dxa"/>
            <w:vAlign w:val="bottom"/>
            <w:gridSpan w:val="2"/>
          </w:tcPr>
          <w:p>
            <w:pPr>
              <w:ind w:left="60"/>
              <w:spacing w:after="0"/>
              <w:rPr>
                <w:sz w:val="20"/>
                <w:szCs w:val="20"/>
                <w:color w:val="auto"/>
              </w:rPr>
            </w:pPr>
            <w:r>
              <w:rPr>
                <w:rFonts w:ascii="Arial" w:cs="Arial" w:eastAsia="Arial" w:hAnsi="Arial"/>
                <w:sz w:val="14"/>
                <w:szCs w:val="14"/>
                <w:color w:val="auto"/>
              </w:rPr>
              <w:t>Granted</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281,197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13.27</w:t>
            </w:r>
          </w:p>
        </w:tc>
      </w:tr>
      <w:tr>
        <w:trPr>
          <w:trHeight w:val="213"/>
        </w:trPr>
        <w:tc>
          <w:tcPr>
            <w:tcW w:w="40" w:type="dxa"/>
            <w:vAlign w:val="bottom"/>
          </w:tcPr>
          <w:p>
            <w:pPr>
              <w:spacing w:after="0"/>
              <w:rPr>
                <w:sz w:val="18"/>
                <w:szCs w:val="18"/>
                <w:color w:val="auto"/>
              </w:rPr>
            </w:pP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(247,690)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11.91</w:t>
            </w:r>
          </w:p>
        </w:tc>
      </w:tr>
      <w:tr>
        <w:trPr>
          <w:trHeight w:val="213"/>
        </w:trPr>
        <w:tc>
          <w:tcPr>
            <w:tcW w:w="40" w:type="dxa"/>
            <w:vAlign w:val="bottom"/>
          </w:tcPr>
          <w:p>
            <w:pPr>
              <w:spacing w:after="0"/>
              <w:rPr>
                <w:sz w:val="18"/>
                <w:szCs w:val="18"/>
                <w:color w:val="auto"/>
              </w:rPr>
            </w:pPr>
          </w:p>
        </w:tc>
        <w:tc>
          <w:tcPr>
            <w:tcW w:w="496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(22,646)</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13.65</w:t>
            </w:r>
          </w:p>
        </w:tc>
      </w:tr>
      <w:tr>
        <w:trPr>
          <w:trHeight w:val="204"/>
        </w:trPr>
        <w:tc>
          <w:tcPr>
            <w:tcW w:w="40" w:type="dxa"/>
            <w:vAlign w:val="bottom"/>
          </w:tcPr>
          <w:p>
            <w:pPr>
              <w:spacing w:after="0"/>
              <w:rPr>
                <w:sz w:val="17"/>
                <w:szCs w:val="17"/>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September 30, 2021</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380,078</w:t>
            </w:r>
          </w:p>
        </w:tc>
        <w:tc>
          <w:tcPr>
            <w:tcW w:w="1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13.50</w:t>
            </w:r>
          </w:p>
        </w:tc>
      </w:tr>
      <w:tr>
        <w:trPr>
          <w:trHeight w:val="20"/>
        </w:trPr>
        <w:tc>
          <w:tcPr>
            <w:tcW w:w="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660" w:right="599" w:firstLine="395"/>
        <w:spacing w:after="0" w:line="316" w:lineRule="auto"/>
        <w:rPr>
          <w:sz w:val="20"/>
          <w:szCs w:val="20"/>
          <w:color w:val="auto"/>
        </w:rPr>
      </w:pPr>
      <w:r>
        <w:rPr>
          <w:rFonts w:ascii="Arial" w:cs="Arial" w:eastAsia="Arial" w:hAnsi="Arial"/>
          <w:sz w:val="14"/>
          <w:szCs w:val="14"/>
          <w:color w:val="auto"/>
        </w:rPr>
        <w:t>Unrecognized stock-based compensation related to the RSUs and RSAs issued through September 30, 2021 was $4 million and is expected to be recognized over 1.9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9019"/>
          </w:cols>
          <w:pgMar w:left="1440" w:top="459" w:right="1440" w:bottom="1440" w:gutter="0" w:footer="0" w:header="0"/>
        </w:sectPr>
      </w:pPr>
    </w:p>
    <w:bookmarkStart w:id="33" w:name="page34"/>
    <w:bookmarkEnd w:id="33"/>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73"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Income Tax</w:t>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An income tax expense reconciliation at the statutory rate to the Company’s actual income tax expense is shown below:</w:t>
      </w:r>
    </w:p>
    <w:p>
      <w:pPr>
        <w:spacing w:after="0" w:line="59"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jc w:val="right"/>
              <w:ind w:right="289"/>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jc w:val="right"/>
              <w:ind w:right="309"/>
              <w:spacing w:after="0"/>
              <w:rPr>
                <w:sz w:val="20"/>
                <w:szCs w:val="20"/>
                <w:color w:val="auto"/>
              </w:rPr>
            </w:pPr>
            <w:r>
              <w:rPr>
                <w:rFonts w:ascii="Arial" w:cs="Arial" w:eastAsia="Arial" w:hAnsi="Arial"/>
                <w:sz w:val="14"/>
                <w:szCs w:val="14"/>
                <w:b w:val="1"/>
                <w:bCs w:val="1"/>
                <w:color w:val="auto"/>
              </w:rPr>
              <w:t>Nine Months Ended</w:t>
            </w:r>
          </w:p>
        </w:tc>
      </w:tr>
      <w:tr>
        <w:trPr>
          <w:trHeight w:val="219"/>
        </w:trPr>
        <w:tc>
          <w:tcPr>
            <w:tcW w:w="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5"/>
          </w:tcPr>
          <w:p>
            <w:pPr>
              <w:jc w:val="right"/>
              <w:ind w:right="509"/>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5"/>
          </w:tcPr>
          <w:p>
            <w:pPr>
              <w:jc w:val="right"/>
              <w:ind w:right="489"/>
              <w:spacing w:after="0"/>
              <w:rPr>
                <w:sz w:val="20"/>
                <w:szCs w:val="20"/>
                <w:color w:val="auto"/>
              </w:rPr>
            </w:pPr>
            <w:r>
              <w:rPr>
                <w:rFonts w:ascii="Arial" w:cs="Arial" w:eastAsia="Arial" w:hAnsi="Arial"/>
                <w:sz w:val="14"/>
                <w:szCs w:val="14"/>
                <w:b w:val="1"/>
                <w:bCs w:val="1"/>
                <w:color w:val="auto"/>
              </w:rPr>
              <w:t>September 30,</w:t>
            </w:r>
          </w:p>
        </w:tc>
      </w:tr>
      <w:tr>
        <w:trPr>
          <w:trHeight w:val="210"/>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r>
      <w:tr>
        <w:trPr>
          <w:trHeight w:val="178"/>
        </w:trPr>
        <w:tc>
          <w:tcPr>
            <w:tcW w:w="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jc w:val="right"/>
              <w:ind w:right="349"/>
              <w:spacing w:after="0"/>
              <w:rPr>
                <w:sz w:val="20"/>
                <w:szCs w:val="20"/>
                <w:color w:val="auto"/>
              </w:rPr>
            </w:pPr>
            <w:r>
              <w:rPr>
                <w:rFonts w:ascii="Arial" w:cs="Arial" w:eastAsia="Arial" w:hAnsi="Arial"/>
                <w:sz w:val="13"/>
                <w:szCs w:val="13"/>
                <w:i w:val="1"/>
                <w:iCs w:val="1"/>
                <w:color w:val="auto"/>
              </w:rPr>
              <w:t>(Dollars in thousands)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Computed at the statutory rate (21%)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5,598</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1,996</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12,693</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1,141</w:t>
            </w:r>
          </w:p>
        </w:tc>
      </w:tr>
      <w:tr>
        <w:trPr>
          <w:trHeight w:val="181"/>
        </w:trPr>
        <w:tc>
          <w:tcPr>
            <w:tcW w:w="4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Increase (decrease) resulting from</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4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Tax-exempt income</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r>
      <w:tr>
        <w:trPr>
          <w:trHeight w:val="181"/>
        </w:trPr>
        <w:tc>
          <w:tcPr>
            <w:tcW w:w="4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Nondeductible expenses</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145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119</w:t>
            </w:r>
          </w:p>
        </w:tc>
      </w:tr>
      <w:tr>
        <w:trPr>
          <w:trHeight w:val="181"/>
        </w:trPr>
        <w:tc>
          <w:tcPr>
            <w:tcW w:w="4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State income taxes</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2,090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501</w:t>
            </w:r>
          </w:p>
        </w:tc>
      </w:tr>
      <w:tr>
        <w:trPr>
          <w:trHeight w:val="181"/>
        </w:trPr>
        <w:tc>
          <w:tcPr>
            <w:tcW w:w="4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Equity based compensation</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24</w:t>
            </w:r>
          </w:p>
        </w:tc>
      </w:tr>
      <w:tr>
        <w:trPr>
          <w:trHeight w:val="181"/>
        </w:trPr>
        <w:tc>
          <w:tcPr>
            <w:tcW w:w="4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Goodwill impairment</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1,553</w:t>
            </w:r>
          </w:p>
        </w:tc>
      </w:tr>
      <w:tr>
        <w:trPr>
          <w:trHeight w:val="171"/>
        </w:trPr>
        <w:tc>
          <w:tcPr>
            <w:tcW w:w="4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Other adjustments</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Actual tax expense</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5,660</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1,498</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11,831</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928</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1060"/>
        <w:spacing w:after="0"/>
        <w:rPr>
          <w:sz w:val="20"/>
          <w:szCs w:val="20"/>
          <w:color w:val="auto"/>
        </w:rPr>
      </w:pPr>
      <w:r>
        <w:rPr>
          <w:rFonts w:ascii="Arial" w:cs="Arial" w:eastAsia="Arial" w:hAnsi="Arial"/>
          <w:sz w:val="12"/>
          <w:szCs w:val="12"/>
          <w:color w:val="auto"/>
        </w:rPr>
        <w:t>The tax effects of temporary differences related to deferred taxes shown on the Consolidated Balance Sheets are presented below:</w:t>
      </w:r>
    </w:p>
    <w:p>
      <w:pPr>
        <w:spacing w:after="0" w:line="82"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1"/>
              </w:rPr>
              <w:t>September 30, 2021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3"/>
              </w:rPr>
              <w:t>December 31, 2020</w:t>
            </w:r>
          </w:p>
        </w:tc>
      </w:tr>
      <w:tr>
        <w:trPr>
          <w:trHeight w:val="172"/>
        </w:trPr>
        <w:tc>
          <w:tcPr>
            <w:tcW w:w="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gridSpan w:val="5"/>
          </w:tcPr>
          <w:p>
            <w:pPr>
              <w:jc w:val="right"/>
              <w:ind w:right="869"/>
              <w:spacing w:after="0"/>
              <w:rPr>
                <w:sz w:val="20"/>
                <w:szCs w:val="20"/>
                <w:color w:val="auto"/>
              </w:rPr>
            </w:pPr>
            <w:r>
              <w:rPr>
                <w:rFonts w:ascii="Arial" w:cs="Arial" w:eastAsia="Arial" w:hAnsi="Arial"/>
                <w:sz w:val="13"/>
                <w:szCs w:val="13"/>
                <w:i w:val="1"/>
                <w:iCs w:val="1"/>
                <w:color w:val="auto"/>
              </w:rPr>
              <w:t>(Dollars in thousands)</w:t>
            </w:r>
          </w:p>
        </w:tc>
      </w:tr>
      <w:tr>
        <w:trPr>
          <w:trHeight w:val="181"/>
        </w:trPr>
        <w:tc>
          <w:tcPr>
            <w:tcW w:w="40" w:type="dxa"/>
            <w:vAlign w:val="bottom"/>
          </w:tcPr>
          <w:p>
            <w:pPr>
              <w:spacing w:after="0"/>
              <w:rPr>
                <w:sz w:val="15"/>
                <w:szCs w:val="15"/>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assets</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80" w:type="dxa"/>
            <w:vAlign w:val="bottom"/>
          </w:tcPr>
          <w:p>
            <w:pPr>
              <w:ind w:left="60"/>
              <w:spacing w:after="0"/>
              <w:rPr>
                <w:sz w:val="20"/>
                <w:szCs w:val="20"/>
                <w:color w:val="auto"/>
              </w:rPr>
            </w:pPr>
            <w:r>
              <w:rPr>
                <w:rFonts w:ascii="Arial" w:cs="Arial" w:eastAsia="Arial" w:hAnsi="Arial"/>
                <w:sz w:val="14"/>
                <w:szCs w:val="14"/>
                <w:color w:val="auto"/>
              </w:rPr>
              <w:t>Allowance for loan losses</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15,441</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18,124</w:t>
            </w:r>
          </w:p>
        </w:tc>
      </w:tr>
      <w:tr>
        <w:trPr>
          <w:trHeight w:val="181"/>
        </w:trPr>
        <w:tc>
          <w:tcPr>
            <w:tcW w:w="40" w:type="dxa"/>
            <w:vAlign w:val="bottom"/>
          </w:tcPr>
          <w:p>
            <w:pPr>
              <w:spacing w:after="0"/>
              <w:rPr>
                <w:sz w:val="15"/>
                <w:szCs w:val="15"/>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Lease incentive</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564</w:t>
            </w:r>
          </w:p>
        </w:tc>
      </w:tr>
      <w:tr>
        <w:trPr>
          <w:trHeight w:val="181"/>
        </w:trPr>
        <w:tc>
          <w:tcPr>
            <w:tcW w:w="40" w:type="dxa"/>
            <w:vAlign w:val="bottom"/>
          </w:tcPr>
          <w:p>
            <w:pPr>
              <w:spacing w:after="0"/>
              <w:rPr>
                <w:sz w:val="15"/>
                <w:szCs w:val="15"/>
                <w:color w:val="auto"/>
              </w:rPr>
            </w:pPr>
          </w:p>
        </w:tc>
        <w:tc>
          <w:tcPr>
            <w:tcW w:w="3880" w:type="dxa"/>
            <w:vAlign w:val="bottom"/>
          </w:tcPr>
          <w:p>
            <w:pPr>
              <w:ind w:left="60"/>
              <w:spacing w:after="0"/>
              <w:rPr>
                <w:sz w:val="20"/>
                <w:szCs w:val="20"/>
                <w:color w:val="auto"/>
              </w:rPr>
            </w:pPr>
            <w:r>
              <w:rPr>
                <w:rFonts w:ascii="Arial" w:cs="Arial" w:eastAsia="Arial" w:hAnsi="Arial"/>
                <w:sz w:val="14"/>
                <w:szCs w:val="14"/>
                <w:color w:val="auto"/>
              </w:rPr>
              <w:t>Unrecognized loss on equity investment</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1,483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181"/>
        </w:trPr>
        <w:tc>
          <w:tcPr>
            <w:tcW w:w="40" w:type="dxa"/>
            <w:vAlign w:val="bottom"/>
          </w:tcPr>
          <w:p>
            <w:pPr>
              <w:spacing w:after="0"/>
              <w:rPr>
                <w:sz w:val="15"/>
                <w:szCs w:val="15"/>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 fees</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3,145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3,178</w:t>
            </w:r>
          </w:p>
        </w:tc>
      </w:tr>
      <w:tr>
        <w:trPr>
          <w:trHeight w:val="181"/>
        </w:trPr>
        <w:tc>
          <w:tcPr>
            <w:tcW w:w="40" w:type="dxa"/>
            <w:vAlign w:val="bottom"/>
          </w:tcPr>
          <w:p>
            <w:pPr>
              <w:spacing w:after="0"/>
              <w:rPr>
                <w:sz w:val="15"/>
                <w:szCs w:val="15"/>
                <w:color w:val="auto"/>
              </w:rPr>
            </w:pPr>
          </w:p>
        </w:tc>
        <w:tc>
          <w:tcPr>
            <w:tcW w:w="3880" w:type="dxa"/>
            <w:vAlign w:val="bottom"/>
          </w:tcPr>
          <w:p>
            <w:pPr>
              <w:ind w:left="60"/>
              <w:spacing w:after="0"/>
              <w:rPr>
                <w:sz w:val="20"/>
                <w:szCs w:val="20"/>
                <w:color w:val="auto"/>
              </w:rPr>
            </w:pPr>
            <w:r>
              <w:rPr>
                <w:rFonts w:ascii="Arial" w:cs="Arial" w:eastAsia="Arial" w:hAnsi="Arial"/>
                <w:sz w:val="14"/>
                <w:szCs w:val="14"/>
                <w:color w:val="auto"/>
              </w:rPr>
              <w:t>Accrued expenses</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2,128</w:t>
            </w:r>
          </w:p>
        </w:tc>
      </w:tr>
      <w:tr>
        <w:trPr>
          <w:trHeight w:val="181"/>
        </w:trPr>
        <w:tc>
          <w:tcPr>
            <w:tcW w:w="40" w:type="dxa"/>
            <w:vAlign w:val="bottom"/>
          </w:tcPr>
          <w:p>
            <w:pPr>
              <w:spacing w:after="0"/>
              <w:rPr>
                <w:sz w:val="15"/>
                <w:szCs w:val="15"/>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compensation</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2,244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2,474</w:t>
            </w:r>
          </w:p>
        </w:tc>
      </w:tr>
      <w:tr>
        <w:trPr>
          <w:trHeight w:val="181"/>
        </w:trPr>
        <w:tc>
          <w:tcPr>
            <w:tcW w:w="40" w:type="dxa"/>
            <w:vAlign w:val="bottom"/>
          </w:tcPr>
          <w:p>
            <w:pPr>
              <w:spacing w:after="0"/>
              <w:rPr>
                <w:sz w:val="15"/>
                <w:szCs w:val="15"/>
                <w:color w:val="auto"/>
              </w:rPr>
            </w:pPr>
          </w:p>
        </w:tc>
        <w:tc>
          <w:tcPr>
            <w:tcW w:w="3880" w:type="dxa"/>
            <w:vAlign w:val="bottom"/>
          </w:tcPr>
          <w:p>
            <w:pPr>
              <w:ind w:left="60"/>
              <w:spacing w:after="0"/>
              <w:rPr>
                <w:sz w:val="20"/>
                <w:szCs w:val="20"/>
                <w:color w:val="auto"/>
              </w:rPr>
            </w:pPr>
            <w:r>
              <w:rPr>
                <w:rFonts w:ascii="Arial" w:cs="Arial" w:eastAsia="Arial" w:hAnsi="Arial"/>
                <w:sz w:val="14"/>
                <w:szCs w:val="14"/>
                <w:color w:val="auto"/>
              </w:rPr>
              <w:t>State tax credit</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1,536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2,621</w:t>
            </w:r>
          </w:p>
        </w:tc>
      </w:tr>
      <w:tr>
        <w:trPr>
          <w:trHeight w:val="176"/>
        </w:trPr>
        <w:tc>
          <w:tcPr>
            <w:tcW w:w="40" w:type="dxa"/>
            <w:vAlign w:val="bottom"/>
          </w:tcPr>
          <w:p>
            <w:pPr>
              <w:spacing w:after="0"/>
              <w:rPr>
                <w:sz w:val="15"/>
                <w:szCs w:val="15"/>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614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946</w:t>
            </w:r>
          </w:p>
        </w:tc>
      </w:tr>
      <w:tr>
        <w:trPr>
          <w:trHeight w:val="177"/>
        </w:trPr>
        <w:tc>
          <w:tcPr>
            <w:tcW w:w="40" w:type="dxa"/>
            <w:vAlign w:val="bottom"/>
          </w:tcPr>
          <w:p>
            <w:pPr>
              <w:spacing w:after="0"/>
              <w:rPr>
                <w:sz w:val="15"/>
                <w:szCs w:val="15"/>
                <w:color w:val="auto"/>
              </w:rPr>
            </w:pPr>
          </w:p>
        </w:tc>
        <w:tc>
          <w:tcPr>
            <w:tcW w:w="3880" w:type="dxa"/>
            <w:vAlign w:val="bottom"/>
          </w:tcPr>
          <w:p>
            <w:pPr>
              <w:ind w:left="160"/>
              <w:spacing w:after="0"/>
              <w:rPr>
                <w:sz w:val="20"/>
                <w:szCs w:val="20"/>
                <w:color w:val="auto"/>
              </w:rPr>
            </w:pPr>
            <w:r>
              <w:rPr>
                <w:rFonts w:ascii="Arial" w:cs="Arial" w:eastAsia="Arial" w:hAnsi="Arial"/>
                <w:sz w:val="14"/>
                <w:szCs w:val="14"/>
                <w:color w:val="auto"/>
              </w:rPr>
              <w:t>Total deferred tax asset</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27,007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30,035</w:t>
            </w:r>
          </w:p>
        </w:tc>
      </w:tr>
      <w:tr>
        <w:trPr>
          <w:trHeight w:val="181"/>
        </w:trPr>
        <w:tc>
          <w:tcPr>
            <w:tcW w:w="40" w:type="dxa"/>
            <w:vAlign w:val="bottom"/>
          </w:tcPr>
          <w:p>
            <w:pPr>
              <w:spacing w:after="0"/>
              <w:rPr>
                <w:sz w:val="15"/>
                <w:szCs w:val="15"/>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liability</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80" w:type="dxa"/>
            <w:vAlign w:val="bottom"/>
          </w:tcPr>
          <w:p>
            <w:pPr>
              <w:ind w:left="60"/>
              <w:spacing w:after="0"/>
              <w:rPr>
                <w:sz w:val="20"/>
                <w:szCs w:val="20"/>
                <w:color w:val="auto"/>
              </w:rPr>
            </w:pPr>
            <w:r>
              <w:rPr>
                <w:rFonts w:ascii="Arial" w:cs="Arial" w:eastAsia="Arial" w:hAnsi="Arial"/>
                <w:sz w:val="14"/>
                <w:szCs w:val="14"/>
                <w:color w:val="auto"/>
              </w:rPr>
              <w:t>Net unrealized gain on securities available-for-sale</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(6,453)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(9,531)</w:t>
            </w:r>
          </w:p>
        </w:tc>
      </w:tr>
      <w:tr>
        <w:trPr>
          <w:trHeight w:val="181"/>
        </w:trPr>
        <w:tc>
          <w:tcPr>
            <w:tcW w:w="40" w:type="dxa"/>
            <w:vAlign w:val="bottom"/>
          </w:tcPr>
          <w:p>
            <w:pPr>
              <w:spacing w:after="0"/>
              <w:rPr>
                <w:sz w:val="15"/>
                <w:szCs w:val="15"/>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FHLB stock basis</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r>
      <w:tr>
        <w:trPr>
          <w:trHeight w:val="181"/>
        </w:trPr>
        <w:tc>
          <w:tcPr>
            <w:tcW w:w="40" w:type="dxa"/>
            <w:vAlign w:val="bottom"/>
          </w:tcPr>
          <w:p>
            <w:pPr>
              <w:spacing w:after="0"/>
              <w:rPr>
                <w:sz w:val="15"/>
                <w:szCs w:val="15"/>
                <w:color w:val="auto"/>
              </w:rPr>
            </w:pPr>
          </w:p>
        </w:tc>
        <w:tc>
          <w:tcPr>
            <w:tcW w:w="3880" w:type="dxa"/>
            <w:vAlign w:val="bottom"/>
          </w:tcPr>
          <w:p>
            <w:pPr>
              <w:ind w:left="60"/>
              <w:spacing w:after="0"/>
              <w:rPr>
                <w:sz w:val="20"/>
                <w:szCs w:val="20"/>
                <w:color w:val="auto"/>
              </w:rPr>
            </w:pPr>
            <w:r>
              <w:rPr>
                <w:rFonts w:ascii="Arial" w:cs="Arial" w:eastAsia="Arial" w:hAnsi="Arial"/>
                <w:sz w:val="14"/>
                <w:szCs w:val="14"/>
                <w:color w:val="auto"/>
              </w:rPr>
              <w:t>Premises and equipment</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(2,739)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(2,881)</w:t>
            </w:r>
          </w:p>
        </w:tc>
      </w:tr>
      <w:tr>
        <w:trPr>
          <w:trHeight w:val="176"/>
        </w:trPr>
        <w:tc>
          <w:tcPr>
            <w:tcW w:w="40" w:type="dxa"/>
            <w:vAlign w:val="bottom"/>
          </w:tcPr>
          <w:p>
            <w:pPr>
              <w:spacing w:after="0"/>
              <w:rPr>
                <w:sz w:val="15"/>
                <w:szCs w:val="15"/>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w:t>
            </w:r>
          </w:p>
        </w:tc>
      </w:tr>
      <w:tr>
        <w:trPr>
          <w:trHeight w:val="167"/>
        </w:trPr>
        <w:tc>
          <w:tcPr>
            <w:tcW w:w="40" w:type="dxa"/>
            <w:vAlign w:val="bottom"/>
          </w:tcPr>
          <w:p>
            <w:pPr>
              <w:spacing w:after="0"/>
              <w:rPr>
                <w:sz w:val="14"/>
                <w:szCs w:val="14"/>
                <w:color w:val="auto"/>
              </w:rPr>
            </w:pPr>
          </w:p>
        </w:tc>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 deferred tax liability</w:t>
            </w:r>
          </w:p>
        </w:tc>
        <w:tc>
          <w:tcPr>
            <w:tcW w:w="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(15,222)</w:t>
            </w:r>
          </w:p>
        </w:tc>
      </w:tr>
      <w:tr>
        <w:trPr>
          <w:trHeight w:val="20"/>
        </w:trPr>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Net deferred tax asset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15,659</w:t>
            </w: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14,813</w:t>
            </w:r>
          </w:p>
        </w:tc>
      </w:tr>
      <w:tr>
        <w:trPr>
          <w:trHeight w:val="20"/>
        </w:trPr>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Disclosures about Fair Value of Financial Instruments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Fair value is the price that would be received to sell an asset or paid to transfer a liability in an orderly transaction between</w:t>
      </w:r>
    </w:p>
    <w:p>
      <w:pPr>
        <w:spacing w:after="0" w:line="31" w:lineRule="exact"/>
        <w:rPr>
          <w:sz w:val="20"/>
          <w:szCs w:val="20"/>
          <w:color w:val="auto"/>
        </w:rPr>
      </w:pPr>
    </w:p>
    <w:p>
      <w:pPr>
        <w:ind w:left="660" w:right="579"/>
        <w:spacing w:after="0" w:line="376" w:lineRule="auto"/>
        <w:rPr>
          <w:sz w:val="20"/>
          <w:szCs w:val="20"/>
          <w:color w:val="auto"/>
        </w:rPr>
      </w:pPr>
      <w:r>
        <w:rPr>
          <w:rFonts w:ascii="Arial" w:cs="Arial" w:eastAsia="Arial" w:hAnsi="Arial"/>
          <w:sz w:val="13"/>
          <w:szCs w:val="13"/>
          <w:color w:val="auto"/>
        </w:rPr>
        <w:t>market participants at the measurement date. Fair value measurements must maximize the use of observable inputs and minimize the use of unobservable inputs. There is a hierarchy of three levels of inputs that may be used to measure fair value:</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Quoted prices in active markets for identical assets or liabilities.</w:t>
      </w:r>
    </w:p>
    <w:p>
      <w:pPr>
        <w:spacing w:after="0" w:line="127" w:lineRule="exact"/>
        <w:rPr>
          <w:sz w:val="20"/>
          <w:szCs w:val="20"/>
          <w:color w:val="auto"/>
        </w:rPr>
      </w:pPr>
    </w:p>
    <w:p>
      <w:pPr>
        <w:ind w:left="1540" w:right="879" w:hanging="511"/>
        <w:spacing w:after="0" w:line="304"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Observable inputs other than Level 1 prices, such as quoted prices for similar assets or liabilities; quoted prices in</w:t>
      </w:r>
      <w:r>
        <w:rPr>
          <w:rFonts w:ascii="Arial" w:cs="Arial" w:eastAsia="Arial" w:hAnsi="Arial"/>
          <w:sz w:val="14"/>
          <w:szCs w:val="14"/>
          <w:b w:val="1"/>
          <w:bCs w:val="1"/>
          <w:color w:val="auto"/>
        </w:rPr>
        <w:t xml:space="preserve"> </w:t>
      </w:r>
      <w:r>
        <w:rPr>
          <w:rFonts w:ascii="Arial" w:cs="Arial" w:eastAsia="Arial" w:hAnsi="Arial"/>
          <w:sz w:val="14"/>
          <w:szCs w:val="14"/>
          <w:color w:val="auto"/>
        </w:rPr>
        <w:t>markets that are not active; or other inputs that are observable or can be corroborated by observable market data for substantially the full term of the assets or liabilities.</w:t>
      </w:r>
    </w:p>
    <w:p>
      <w:pPr>
        <w:spacing w:after="0" w:line="60" w:lineRule="exact"/>
        <w:rPr>
          <w:sz w:val="20"/>
          <w:szCs w:val="20"/>
          <w:color w:val="auto"/>
        </w:rPr>
      </w:pPr>
    </w:p>
    <w:p>
      <w:pPr>
        <w:ind w:left="1040"/>
        <w:spacing w:after="0"/>
        <w:rPr>
          <w:sz w:val="20"/>
          <w:szCs w:val="20"/>
          <w:color w:val="auto"/>
        </w:rPr>
      </w:pPr>
      <w:r>
        <w:rPr>
          <w:rFonts w:ascii="Arial" w:cs="Arial" w:eastAsia="Arial" w:hAnsi="Arial"/>
          <w:sz w:val="13"/>
          <w:szCs w:val="13"/>
          <w:b w:val="1"/>
          <w:bCs w:val="1"/>
          <w:color w:val="auto"/>
        </w:rPr>
        <w:t xml:space="preserve">Level 3 </w:t>
      </w:r>
      <w:r>
        <w:rPr>
          <w:rFonts w:ascii="Arial" w:cs="Arial" w:eastAsia="Arial" w:hAnsi="Arial"/>
          <w:sz w:val="13"/>
          <w:szCs w:val="13"/>
          <w:color w:val="auto"/>
        </w:rPr>
        <w:t>Unobservable inputs supported by little or no market activity and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9019"/>
          </w:cols>
          <w:pgMar w:left="1440" w:top="459" w:right="1440" w:bottom="1440" w:gutter="0" w:footer="0" w:header="0"/>
        </w:sectPr>
      </w:pPr>
    </w:p>
    <w:bookmarkStart w:id="34" w:name="page35"/>
    <w:bookmarkEnd w:id="34"/>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0"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Recurring Measurements</w:t>
      </w:r>
    </w:p>
    <w:p>
      <w:pPr>
        <w:spacing w:after="0" w:line="161" w:lineRule="exact"/>
        <w:rPr>
          <w:sz w:val="20"/>
          <w:szCs w:val="20"/>
          <w:color w:val="auto"/>
        </w:rPr>
      </w:pPr>
    </w:p>
    <w:p>
      <w:pPr>
        <w:jc w:val="both"/>
        <w:ind w:left="620" w:right="779" w:firstLine="395"/>
        <w:spacing w:after="0" w:line="343" w:lineRule="auto"/>
        <w:rPr>
          <w:sz w:val="20"/>
          <w:szCs w:val="20"/>
          <w:color w:val="auto"/>
        </w:rPr>
      </w:pPr>
      <w:r>
        <w:rPr>
          <w:rFonts w:ascii="Arial" w:cs="Arial" w:eastAsia="Arial" w:hAnsi="Arial"/>
          <w:sz w:val="12"/>
          <w:szCs w:val="12"/>
          <w:color w:val="auto"/>
        </w:rPr>
        <w:t>The following list presents the assets and liabilities recognized in the accompanying Consolidated Balance Sheets measured at fair value on a recurring basis and the level within the fair value hierarchy in which the fair value measurements fall at September 30,</w:t>
      </w:r>
    </w:p>
    <w:p>
      <w:pPr>
        <w:ind w:left="620"/>
        <w:spacing w:after="0"/>
        <w:rPr>
          <w:sz w:val="20"/>
          <w:szCs w:val="20"/>
          <w:color w:val="auto"/>
        </w:rPr>
      </w:pPr>
      <w:r>
        <w:rPr>
          <w:rFonts w:ascii="Arial" w:cs="Arial" w:eastAsia="Arial" w:hAnsi="Arial"/>
          <w:sz w:val="14"/>
          <w:szCs w:val="14"/>
          <w:color w:val="auto"/>
        </w:rPr>
        <w:t>2021 and December 31, 2020:</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9"/>
              <w:spacing w:after="0"/>
              <w:rPr>
                <w:sz w:val="20"/>
                <w:szCs w:val="20"/>
                <w:color w:val="auto"/>
              </w:rPr>
            </w:pPr>
            <w:r>
              <w:rPr>
                <w:rFonts w:ascii="Arial" w:cs="Arial" w:eastAsia="Arial" w:hAnsi="Arial"/>
                <w:sz w:val="14"/>
                <w:szCs w:val="14"/>
                <w:b w:val="1"/>
                <w:bCs w:val="1"/>
                <w:color w:val="auto"/>
                <w:w w:val="91"/>
              </w:rPr>
              <w:t>Valuation</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Where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9"/>
              <w:spacing w:after="0"/>
              <w:rPr>
                <w:sz w:val="20"/>
                <w:szCs w:val="20"/>
                <w:color w:val="auto"/>
              </w:rPr>
            </w:pPr>
            <w:r>
              <w:rPr>
                <w:rFonts w:ascii="Arial" w:cs="Arial" w:eastAsia="Arial" w:hAnsi="Arial"/>
                <w:sz w:val="14"/>
                <w:szCs w:val="14"/>
                <w:b w:val="1"/>
                <w:bCs w:val="1"/>
                <w:color w:val="auto"/>
                <w:w w:val="95"/>
              </w:rPr>
              <w:t>Hierarchy</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Value Balance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Fair Value Description</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4"/>
              </w:rPr>
              <w:t>Level</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Can Be Found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4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Available-for-</w:t>
            </w:r>
          </w:p>
        </w:tc>
        <w:tc>
          <w:tcPr>
            <w:tcW w:w="120" w:type="dxa"/>
            <w:vAlign w:val="bottom"/>
            <w:tcBorders>
              <w:top w:val="single" w:sz="8" w:color="CCEEFF"/>
            </w:tcBorders>
            <w:shd w:val="clear" w:color="auto" w:fill="CCEEFF"/>
          </w:tcPr>
          <w:p>
            <w:pPr>
              <w:spacing w:after="0"/>
              <w:rPr>
                <w:sz w:val="12"/>
                <w:szCs w:val="12"/>
                <w:color w:val="auto"/>
              </w:rPr>
            </w:pPr>
          </w:p>
        </w:tc>
        <w:tc>
          <w:tcPr>
            <w:tcW w:w="442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4"/>
                <w:szCs w:val="14"/>
                <w:color w:val="auto"/>
                <w:w w:val="92"/>
              </w:rPr>
              <w:t>Where quoted market prices are available in an active market, securities are</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jc w:val="center"/>
              <w:spacing w:after="0" w:line="141" w:lineRule="exact"/>
              <w:rPr>
                <w:sz w:val="20"/>
                <w:szCs w:val="20"/>
                <w:color w:val="auto"/>
              </w:rPr>
            </w:pPr>
            <w:r>
              <w:rPr>
                <w:rFonts w:ascii="Arial" w:cs="Arial" w:eastAsia="Arial" w:hAnsi="Arial"/>
                <w:sz w:val="14"/>
                <w:szCs w:val="14"/>
                <w:color w:val="auto"/>
                <w:w w:val="97"/>
              </w:rPr>
              <w:t>Level 2</w:t>
            </w: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CCEEFF"/>
            </w:tcBorders>
            <w:shd w:val="clear" w:color="auto" w:fill="CCEEFF"/>
          </w:tcPr>
          <w:p>
            <w:pPr>
              <w:jc w:val="center"/>
              <w:ind w:right="9"/>
              <w:spacing w:after="0" w:line="141" w:lineRule="exact"/>
              <w:rPr>
                <w:sz w:val="20"/>
                <w:szCs w:val="20"/>
                <w:color w:val="auto"/>
              </w:rPr>
            </w:pPr>
            <w:r>
              <w:rPr>
                <w:rFonts w:ascii="Arial" w:cs="Arial" w:eastAsia="Arial" w:hAnsi="Arial"/>
                <w:sz w:val="14"/>
                <w:szCs w:val="14"/>
                <w:color w:val="auto"/>
                <w:w w:val="92"/>
              </w:rPr>
              <w:t>Note 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Securities</w:t>
            </w: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classified within Level 1 of the valuation hierarchy. If quoted market prices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Securities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6"/>
              </w:rPr>
              <w:t>are not available, then fair values are estimated by using quoted prices of</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w w:val="95"/>
              </w:rPr>
              <w:t>securities with similar characteristics or independent asset pricing services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w w:val="95"/>
              </w:rPr>
              <w:t>and pricing models, the inputs of which are market-based or independently</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sourced market parameters, including, but not limited to, yield curves,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w w:val="93"/>
              </w:rPr>
              <w:t>interest rates, volatilities, prepayments, defaults, cumulative loss projections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and cash flows.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40" w:type="dxa"/>
            <w:vAlign w:val="bottom"/>
          </w:tcPr>
          <w:p>
            <w:pPr>
              <w:spacing w:after="0" w:line="160" w:lineRule="exact"/>
              <w:rPr>
                <w:sz w:val="20"/>
                <w:szCs w:val="20"/>
                <w:color w:val="auto"/>
              </w:rPr>
            </w:pPr>
            <w:r>
              <w:rPr>
                <w:rFonts w:ascii="Arial" w:cs="Arial" w:eastAsia="Arial" w:hAnsi="Arial"/>
                <w:sz w:val="14"/>
                <w:szCs w:val="14"/>
                <w:color w:val="auto"/>
              </w:rPr>
              <w:t>Derivatives</w:t>
            </w:r>
          </w:p>
        </w:tc>
        <w:tc>
          <w:tcPr>
            <w:tcW w:w="4540" w:type="dxa"/>
            <w:vAlign w:val="bottom"/>
            <w:gridSpan w:val="2"/>
          </w:tcPr>
          <w:p>
            <w:pPr>
              <w:ind w:left="100"/>
              <w:spacing w:after="0" w:line="160" w:lineRule="exact"/>
              <w:rPr>
                <w:sz w:val="20"/>
                <w:szCs w:val="20"/>
                <w:color w:val="auto"/>
              </w:rPr>
            </w:pPr>
            <w:r>
              <w:rPr>
                <w:rFonts w:ascii="Arial" w:cs="Arial" w:eastAsia="Arial" w:hAnsi="Arial"/>
                <w:sz w:val="14"/>
                <w:szCs w:val="14"/>
                <w:color w:val="auto"/>
                <w:w w:val="97"/>
              </w:rPr>
              <w:t>Fair value of the interest rate swaps is obtained from independent pricing</w:t>
            </w:r>
          </w:p>
        </w:tc>
        <w:tc>
          <w:tcPr>
            <w:tcW w:w="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color w:val="auto"/>
                <w:w w:val="97"/>
              </w:rPr>
              <w:t>Level 2</w:t>
            </w:r>
          </w:p>
        </w:tc>
        <w:tc>
          <w:tcPr>
            <w:tcW w:w="80" w:type="dxa"/>
            <w:vAlign w:val="bottom"/>
          </w:tcPr>
          <w:p>
            <w:pPr>
              <w:spacing w:after="0"/>
              <w:rPr>
                <w:sz w:val="13"/>
                <w:szCs w:val="13"/>
                <w:color w:val="auto"/>
              </w:rPr>
            </w:pPr>
          </w:p>
        </w:tc>
        <w:tc>
          <w:tcPr>
            <w:tcW w:w="106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2"/>
              </w:rPr>
              <w:t>Note 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540" w:type="dxa"/>
            <w:vAlign w:val="bottom"/>
            <w:gridSpan w:val="2"/>
          </w:tcPr>
          <w:p>
            <w:pPr>
              <w:ind w:left="100"/>
              <w:spacing w:after="0"/>
              <w:rPr>
                <w:sz w:val="20"/>
                <w:szCs w:val="20"/>
                <w:color w:val="auto"/>
              </w:rPr>
            </w:pPr>
            <w:r>
              <w:rPr>
                <w:rFonts w:ascii="Arial" w:cs="Arial" w:eastAsia="Arial" w:hAnsi="Arial"/>
                <w:sz w:val="14"/>
                <w:szCs w:val="14"/>
                <w:color w:val="auto"/>
              </w:rPr>
              <w:t>services based on quoted market prices for similar derivative contracts.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color w:val="auto"/>
                <w:w w:val="93"/>
              </w:rPr>
              <w:t>Derivatives and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Hedging</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Nonrecurring Measurements</w:t>
      </w:r>
    </w:p>
    <w:p>
      <w:pPr>
        <w:spacing w:after="0" w:line="161" w:lineRule="exact"/>
        <w:rPr>
          <w:sz w:val="20"/>
          <w:szCs w:val="20"/>
          <w:color w:val="auto"/>
        </w:rPr>
      </w:pPr>
    </w:p>
    <w:p>
      <w:pPr>
        <w:jc w:val="both"/>
        <w:ind w:left="620" w:right="679" w:firstLine="395"/>
        <w:spacing w:after="0" w:line="316" w:lineRule="auto"/>
        <w:rPr>
          <w:sz w:val="20"/>
          <w:szCs w:val="20"/>
          <w:color w:val="auto"/>
        </w:rPr>
      </w:pPr>
      <w:r>
        <w:rPr>
          <w:rFonts w:ascii="Arial" w:cs="Arial" w:eastAsia="Arial" w:hAnsi="Arial"/>
          <w:sz w:val="14"/>
          <w:szCs w:val="14"/>
          <w:color w:val="auto"/>
        </w:rPr>
        <w:t>The following tables present assets measured at fair value on a nonrecurring basis and the level within the fair value hierarchy in which the fair value measurements fall at September 30, 2021 and December 31, 2020:</w:t>
      </w:r>
    </w:p>
    <w:p>
      <w:pPr>
        <w:spacing w:after="0" w:line="20" w:lineRule="exact"/>
        <w:rPr>
          <w:sz w:val="20"/>
          <w:szCs w:val="20"/>
          <w:color w:val="auto"/>
        </w:rPr>
      </w:pPr>
    </w:p>
    <w:p>
      <w:pPr>
        <w:jc w:val="center"/>
        <w:ind w:left="3220"/>
        <w:spacing w:after="0"/>
        <w:rPr>
          <w:sz w:val="20"/>
          <w:szCs w:val="20"/>
          <w:color w:val="auto"/>
        </w:rPr>
      </w:pPr>
      <w:r>
        <w:rPr>
          <w:rFonts w:ascii="Arial" w:cs="Arial" w:eastAsia="Arial" w:hAnsi="Arial"/>
          <w:sz w:val="14"/>
          <w:szCs w:val="14"/>
          <w:b w:val="1"/>
          <w:bCs w:val="1"/>
          <w:color w:val="auto"/>
        </w:rPr>
        <w:t>September 30, 2021</w:t>
      </w:r>
    </w:p>
    <w:p>
      <w:pPr>
        <w:spacing w:after="0" w:line="31" w:lineRule="exact"/>
        <w:rPr>
          <w:sz w:val="20"/>
          <w:szCs w:val="20"/>
          <w:color w:val="auto"/>
        </w:rPr>
      </w:pPr>
    </w:p>
    <w:p>
      <w:pPr>
        <w:jc w:val="center"/>
        <w:ind w:left="3220"/>
        <w:spacing w:after="0"/>
        <w:rPr>
          <w:sz w:val="20"/>
          <w:szCs w:val="20"/>
          <w:color w:val="auto"/>
        </w:rPr>
      </w:pPr>
      <w:r>
        <w:rPr>
          <w:rFonts w:ascii="Arial" w:cs="Arial" w:eastAsia="Arial" w:hAnsi="Arial"/>
          <w:sz w:val="14"/>
          <w:szCs w:val="14"/>
          <w:b w:val="1"/>
          <w:bCs w:val="1"/>
          <w:color w:val="auto"/>
        </w:rPr>
        <w:t>Fair Value Measurements Using</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right="90"/>
              <w:spacing w:after="0"/>
              <w:rPr>
                <w:sz w:val="20"/>
                <w:szCs w:val="20"/>
                <w:color w:val="auto"/>
              </w:rPr>
            </w:pPr>
            <w:r>
              <w:rPr>
                <w:rFonts w:ascii="Arial" w:cs="Arial" w:eastAsia="Arial" w:hAnsi="Arial"/>
                <w:sz w:val="14"/>
                <w:szCs w:val="14"/>
                <w:b w:val="1"/>
                <w:bCs w:val="1"/>
                <w:color w:val="auto"/>
                <w:w w:val="91"/>
              </w:rPr>
              <w:t>Quoted Prices in Active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Significant 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Unobservable</w:t>
            </w:r>
          </w:p>
        </w:tc>
      </w:tr>
      <w:tr>
        <w:trPr>
          <w:trHeight w:val="171"/>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Markets for Identical Assets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109"/>
              <w:spacing w:after="0"/>
              <w:rPr>
                <w:sz w:val="20"/>
                <w:szCs w:val="20"/>
                <w:color w:val="auto"/>
              </w:rPr>
            </w:pPr>
            <w:r>
              <w:rPr>
                <w:rFonts w:ascii="Arial" w:cs="Arial" w:eastAsia="Arial" w:hAnsi="Arial"/>
                <w:sz w:val="14"/>
                <w:szCs w:val="14"/>
                <w:b w:val="1"/>
                <w:bCs w:val="1"/>
                <w:color w:val="auto"/>
                <w:w w:val="91"/>
              </w:rPr>
              <w:t>Observable Inputs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Inputs</w:t>
            </w:r>
          </w:p>
        </w:tc>
      </w:tr>
      <w:tr>
        <w:trPr>
          <w:trHeight w:val="164"/>
        </w:trPr>
        <w:tc>
          <w:tcPr>
            <w:tcW w:w="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4"/>
          </w:tcPr>
          <w:p>
            <w:pPr>
              <w:jc w:val="right"/>
              <w:ind w:right="849"/>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Collateral-dependent impaired loans</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45,244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45,244</w:t>
            </w:r>
          </w:p>
        </w:tc>
      </w:tr>
      <w:tr>
        <w:trPr>
          <w:trHeight w:val="181"/>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Equity security</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4,989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4,989</w:t>
            </w: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Foreclosed assets held-for-sale</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1,148</w:t>
            </w:r>
          </w:p>
        </w:tc>
      </w:tr>
      <w:tr>
        <w:trPr>
          <w:trHeight w:val="490"/>
        </w:trPr>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4"/>
          </w:tcPr>
          <w:p>
            <w:pPr>
              <w:jc w:val="right"/>
              <w:ind w:right="409"/>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Fair Value Measurements Using</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ind w:right="90"/>
              <w:spacing w:after="0"/>
              <w:rPr>
                <w:sz w:val="20"/>
                <w:szCs w:val="20"/>
                <w:color w:val="auto"/>
              </w:rPr>
            </w:pPr>
            <w:r>
              <w:rPr>
                <w:rFonts w:ascii="Arial" w:cs="Arial" w:eastAsia="Arial" w:hAnsi="Arial"/>
                <w:sz w:val="14"/>
                <w:szCs w:val="14"/>
                <w:b w:val="1"/>
                <w:bCs w:val="1"/>
                <w:color w:val="auto"/>
                <w:w w:val="91"/>
              </w:rPr>
              <w:t>Quoted Prices in Active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Significant Other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Unobservable</w:t>
            </w:r>
          </w:p>
        </w:tc>
      </w:tr>
      <w:tr>
        <w:trPr>
          <w:trHeight w:val="160"/>
        </w:trPr>
        <w:tc>
          <w:tcPr>
            <w:tcW w:w="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Markets for Identical Assets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129"/>
              <w:spacing w:after="0"/>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Inputs</w:t>
            </w: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4"/>
              </w:rPr>
              <w:t>(Level 3)</w:t>
            </w:r>
          </w:p>
        </w:tc>
      </w:tr>
      <w:tr>
        <w:trPr>
          <w:trHeight w:val="178"/>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4"/>
          </w:tcPr>
          <w:p>
            <w:pPr>
              <w:jc w:val="right"/>
              <w:ind w:right="849"/>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w w:val="95"/>
              </w:rPr>
              <w:t>Collateral-dependent impaired loans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55,454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55,454</w:t>
            </w:r>
          </w:p>
        </w:tc>
      </w:tr>
      <w:tr>
        <w:trPr>
          <w:trHeight w:val="191"/>
        </w:trPr>
        <w:tc>
          <w:tcPr>
            <w:tcW w:w="4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Foreclosed assets held-for-sale</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2,347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2,347</w:t>
            </w:r>
          </w:p>
        </w:tc>
      </w:tr>
    </w:tbl>
    <w:p>
      <w:pPr>
        <w:spacing w:after="0" w:line="150" w:lineRule="exact"/>
        <w:rPr>
          <w:sz w:val="20"/>
          <w:szCs w:val="20"/>
          <w:color w:val="auto"/>
        </w:rPr>
      </w:pPr>
    </w:p>
    <w:p>
      <w:pPr>
        <w:ind w:left="660" w:right="839" w:firstLine="395"/>
        <w:spacing w:after="0" w:line="316" w:lineRule="auto"/>
        <w:rPr>
          <w:sz w:val="20"/>
          <w:szCs w:val="20"/>
          <w:color w:val="auto"/>
        </w:rPr>
      </w:pPr>
      <w:r>
        <w:rPr>
          <w:rFonts w:ascii="Arial" w:cs="Arial" w:eastAsia="Arial" w:hAnsi="Arial"/>
          <w:sz w:val="14"/>
          <w:szCs w:val="14"/>
          <w:color w:val="auto"/>
        </w:rPr>
        <w:t>Following is a description of the valuation methodologies and inputs used for assets measured at fair value on a nonrecurring basis and recognized in the accompanying Consolidated Balance Sheets.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Collateral-dependent Impaired Loans, Net of ALLL</w:t>
      </w:r>
    </w:p>
    <w:p>
      <w:pPr>
        <w:spacing w:after="0" w:line="159" w:lineRule="exact"/>
        <w:rPr>
          <w:sz w:val="20"/>
          <w:szCs w:val="20"/>
          <w:color w:val="auto"/>
        </w:rPr>
      </w:pPr>
    </w:p>
    <w:p>
      <w:pPr>
        <w:ind w:left="660" w:right="1099" w:firstLine="395"/>
        <w:spacing w:after="0" w:line="376" w:lineRule="auto"/>
        <w:rPr>
          <w:sz w:val="20"/>
          <w:szCs w:val="20"/>
          <w:color w:val="auto"/>
        </w:rPr>
      </w:pPr>
      <w:r>
        <w:rPr>
          <w:rFonts w:ascii="Arial" w:cs="Arial" w:eastAsia="Arial" w:hAnsi="Arial"/>
          <w:sz w:val="13"/>
          <w:szCs w:val="13"/>
          <w:color w:val="auto"/>
        </w:rPr>
        <w:t>The estimated fair value of collateral-dependent impaired loans is based on the appraised fair value of the collateral, less estimated cost to sell. Collateral-dependent impaired loans are classified within Level 3 of the fair value hierarchy.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9019"/>
          </w:cols>
          <w:pgMar w:left="1440" w:top="459" w:right="1440" w:bottom="1440" w:gutter="0" w:footer="0" w:header="0"/>
        </w:sectPr>
      </w:pPr>
    </w:p>
    <w:bookmarkStart w:id="35" w:name="page36"/>
    <w:bookmarkEnd w:id="35"/>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ind w:left="660" w:right="759" w:firstLine="395"/>
        <w:spacing w:after="0" w:line="301" w:lineRule="auto"/>
        <w:rPr>
          <w:sz w:val="20"/>
          <w:szCs w:val="20"/>
          <w:color w:val="auto"/>
        </w:rPr>
      </w:pPr>
      <w:r>
        <w:rPr>
          <w:rFonts w:ascii="Arial" w:cs="Arial" w:eastAsia="Arial" w:hAnsi="Arial"/>
          <w:sz w:val="14"/>
          <w:szCs w:val="14"/>
          <w:color w:val="auto"/>
        </w:rPr>
        <w:t>The Company considers the appraisal or evaluation as the starting point for determining fair value and then considers other factors and events in the environment that may affect the fair value. Appraisals of the collateral underlying collateral-dependent loans are obtained when the loan is determined to be collateral-dependent and subsequently as deemed necessary by the Office of the Chief Credit Officer.</w:t>
      </w:r>
    </w:p>
    <w:p>
      <w:pPr>
        <w:spacing w:after="0" w:line="110" w:lineRule="exact"/>
        <w:rPr>
          <w:sz w:val="20"/>
          <w:szCs w:val="20"/>
          <w:color w:val="auto"/>
        </w:rPr>
      </w:pPr>
    </w:p>
    <w:p>
      <w:pPr>
        <w:jc w:val="both"/>
        <w:ind w:left="660" w:right="579" w:firstLine="395"/>
        <w:spacing w:after="0" w:line="330" w:lineRule="auto"/>
        <w:rPr>
          <w:sz w:val="20"/>
          <w:szCs w:val="20"/>
          <w:color w:val="auto"/>
        </w:rPr>
      </w:pPr>
      <w:r>
        <w:rPr>
          <w:rFonts w:ascii="Arial" w:cs="Arial" w:eastAsia="Arial" w:hAnsi="Arial"/>
          <w:sz w:val="13"/>
          <w:szCs w:val="13"/>
          <w:color w:val="auto"/>
        </w:rPr>
        <w:t>Appraisals are reviewed for accuracy and consistency by the Office of the Chief Credit Officer. Appraisers are selected from the list of approved appraisers maintained by management. The appraised values are reduced by discounts to consider lack of marketability and estimated cost to sell if repayment or satisfaction of the loan is dependent on the sale of the collateral. These discounts and estimates are developed by the Office of the Chief Credit Officer by comparison to historical results.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Equity securities</w:t>
      </w:r>
    </w:p>
    <w:p>
      <w:pPr>
        <w:spacing w:after="0" w:line="170" w:lineRule="exact"/>
        <w:rPr>
          <w:sz w:val="20"/>
          <w:szCs w:val="20"/>
          <w:color w:val="auto"/>
        </w:rPr>
      </w:pPr>
    </w:p>
    <w:p>
      <w:pPr>
        <w:ind w:left="660" w:right="779" w:firstLine="395"/>
        <w:spacing w:after="0" w:line="301" w:lineRule="auto"/>
        <w:rPr>
          <w:sz w:val="20"/>
          <w:szCs w:val="20"/>
          <w:color w:val="auto"/>
        </w:rPr>
      </w:pPr>
      <w:r>
        <w:rPr>
          <w:rFonts w:ascii="Arial" w:cs="Arial" w:eastAsia="Arial" w:hAnsi="Arial"/>
          <w:sz w:val="14"/>
          <w:szCs w:val="14"/>
          <w:color w:val="auto"/>
        </w:rPr>
        <w:t>The Company’s equity investments without readily determinable fair values are held at cost and are adjusted for observable transactions during the reporting period or if the security is determined to be impaired. The estimated fair value of the equity security was determined based on the marketability of the investment. The equity investment is classified as Level 3 due to the infrequency of the observable prices.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Foreclosed Assets Held-for-Sale</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The fair value of foreclosed assets-held-for-sale is based on the appraised fair value of the collateral, less estimated cost to sell.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Unobservable (Level 3) Inputs</w:t>
      </w:r>
    </w:p>
    <w:p>
      <w:pPr>
        <w:spacing w:after="0" w:line="159" w:lineRule="exact"/>
        <w:rPr>
          <w:sz w:val="20"/>
          <w:szCs w:val="20"/>
          <w:color w:val="auto"/>
        </w:rPr>
      </w:pPr>
    </w:p>
    <w:p>
      <w:pPr>
        <w:ind w:left="640" w:right="1159" w:firstLine="395"/>
        <w:spacing w:after="0" w:line="315" w:lineRule="auto"/>
        <w:rPr>
          <w:sz w:val="20"/>
          <w:szCs w:val="20"/>
          <w:color w:val="auto"/>
        </w:rPr>
      </w:pPr>
      <w:r>
        <w:rPr>
          <w:rFonts w:ascii="Arial" w:cs="Arial" w:eastAsia="Arial" w:hAnsi="Arial"/>
          <w:sz w:val="14"/>
          <w:szCs w:val="14"/>
          <w:color w:val="auto"/>
        </w:rPr>
        <w:t>The following tables present quantitative information about unobservable inputs used in nonrecurring Level 3 fair value measurements at September 30, 2021 and December 31, 2020:</w:t>
      </w:r>
    </w:p>
    <w:tbl>
      <w:tblPr>
        <w:tblLayout w:type="fixed"/>
        <w:tblInd w:w="620" w:type="dxa"/>
        <w:tblCellMar>
          <w:top w:w="0" w:type="dxa"/>
          <w:left w:w="0" w:type="dxa"/>
          <w:bottom w:w="0" w:type="dxa"/>
          <w:right w:w="0" w:type="dxa"/>
        </w:tblCellMar>
      </w:tblPr>
      <w:tr>
        <w:trPr>
          <w:trHeight w:val="191"/>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5"/>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center"/>
              <w:ind w:right="469"/>
              <w:spacing w:after="0"/>
              <w:rPr>
                <w:sz w:val="20"/>
                <w:szCs w:val="20"/>
                <w:color w:val="auto"/>
              </w:rPr>
            </w:pPr>
            <w:r>
              <w:rPr>
                <w:rFonts w:ascii="Arial" w:cs="Arial" w:eastAsia="Arial" w:hAnsi="Arial"/>
                <w:sz w:val="14"/>
                <w:szCs w:val="14"/>
                <w:b w:val="1"/>
                <w:bCs w:val="1"/>
                <w:color w:val="auto"/>
                <w:w w:val="88"/>
              </w:rPr>
              <w:t>Range</w:t>
            </w:r>
          </w:p>
        </w:tc>
      </w:tr>
      <w:tr>
        <w:trPr>
          <w:trHeight w:val="164"/>
        </w:trPr>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6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Valuation Techniques</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r>
      <w:tr>
        <w:trPr>
          <w:trHeight w:val="196"/>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ind w:left="1200"/>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2"/>
        </w:trPr>
        <w:tc>
          <w:tcPr>
            <w:tcW w:w="40" w:type="dxa"/>
            <w:vAlign w:val="bottom"/>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w w:val="99"/>
              </w:rPr>
              <w:t>Marketability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  100%</w:t>
            </w:r>
          </w:p>
        </w:tc>
      </w:tr>
      <w:tr>
        <w:trPr>
          <w:trHeight w:val="160"/>
        </w:trPr>
        <w:tc>
          <w:tcPr>
            <w:tcW w:w="40" w:type="dxa"/>
            <w:vAlign w:val="bottom"/>
          </w:tcPr>
          <w:p>
            <w:pPr>
              <w:spacing w:after="0"/>
              <w:rPr>
                <w:sz w:val="13"/>
                <w:szCs w:val="13"/>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w w:val="94"/>
              </w:rPr>
              <w:t>Collateral-dependent impaired loans</w:t>
            </w:r>
          </w:p>
        </w:tc>
        <w:tc>
          <w:tcPr>
            <w:tcW w:w="2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3"/>
              </w:rPr>
              <w:t>45,244</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jc w:val="center"/>
              <w:ind w:right="489"/>
              <w:spacing w:after="0"/>
              <w:rPr>
                <w:sz w:val="20"/>
                <w:szCs w:val="20"/>
                <w:color w:val="auto"/>
              </w:rPr>
            </w:pPr>
            <w:r>
              <w:rPr>
                <w:rFonts w:ascii="Arial" w:cs="Arial" w:eastAsia="Arial" w:hAnsi="Arial"/>
                <w:sz w:val="14"/>
                <w:szCs w:val="14"/>
                <w:color w:val="auto"/>
                <w:w w:val="96"/>
              </w:rPr>
              <w:t>(30)%</w:t>
            </w:r>
          </w:p>
        </w:tc>
      </w:tr>
      <w:tr>
        <w:trPr>
          <w:trHeight w:val="266"/>
        </w:trPr>
        <w:tc>
          <w:tcPr>
            <w:tcW w:w="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tcPr>
          <w:p>
            <w:pPr>
              <w:spacing w:after="0"/>
              <w:rPr>
                <w:sz w:val="23"/>
                <w:szCs w:val="23"/>
                <w:color w:val="auto"/>
              </w:rPr>
            </w:pPr>
          </w:p>
        </w:tc>
        <w:tc>
          <w:tcPr>
            <w:tcW w:w="1220" w:type="dxa"/>
            <w:vAlign w:val="bottom"/>
          </w:tcPr>
          <w:p>
            <w:pPr>
              <w:jc w:val="center"/>
              <w:ind w:right="9"/>
              <w:spacing w:after="0"/>
              <w:rPr>
                <w:sz w:val="20"/>
                <w:szCs w:val="20"/>
                <w:color w:val="auto"/>
              </w:rPr>
            </w:pPr>
            <w:r>
              <w:rPr>
                <w:rFonts w:ascii="Arial" w:cs="Arial" w:eastAsia="Arial" w:hAnsi="Arial"/>
                <w:sz w:val="14"/>
                <w:szCs w:val="14"/>
                <w:color w:val="auto"/>
                <w:w w:val="99"/>
              </w:rPr>
              <w:t>Marketability</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160"/>
        </w:trPr>
        <w:tc>
          <w:tcPr>
            <w:tcW w:w="2180" w:type="dxa"/>
            <w:vAlign w:val="bottom"/>
            <w:gridSpan w:val="2"/>
          </w:tcPr>
          <w:p>
            <w:pPr>
              <w:spacing w:after="0"/>
              <w:rPr>
                <w:sz w:val="20"/>
                <w:szCs w:val="20"/>
                <w:color w:val="auto"/>
              </w:rPr>
            </w:pPr>
            <w:r>
              <w:rPr>
                <w:rFonts w:ascii="Arial" w:cs="Arial" w:eastAsia="Arial" w:hAnsi="Arial"/>
                <w:sz w:val="14"/>
                <w:szCs w:val="14"/>
                <w:color w:val="auto"/>
              </w:rPr>
              <w:t>Equity security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ind w:right="29"/>
              <w:spacing w:after="0"/>
              <w:rPr>
                <w:sz w:val="20"/>
                <w:szCs w:val="20"/>
                <w:color w:val="auto"/>
              </w:rPr>
            </w:pPr>
            <w:r>
              <w:rPr>
                <w:rFonts w:ascii="Arial" w:cs="Arial" w:eastAsia="Arial" w:hAnsi="Arial"/>
                <w:sz w:val="14"/>
                <w:szCs w:val="14"/>
                <w:color w:val="auto"/>
                <w:w w:val="91"/>
              </w:rPr>
              <w:t>4,989</w:t>
            </w:r>
          </w:p>
        </w:tc>
        <w:tc>
          <w:tcPr>
            <w:tcW w:w="140" w:type="dxa"/>
            <w:vAlign w:val="bottom"/>
          </w:tcPr>
          <w:p>
            <w:pPr>
              <w:spacing w:after="0"/>
              <w:rPr>
                <w:sz w:val="13"/>
                <w:szCs w:val="13"/>
                <w:color w:val="auto"/>
              </w:rPr>
            </w:pPr>
          </w:p>
        </w:tc>
        <w:tc>
          <w:tcPr>
            <w:tcW w:w="1600" w:type="dxa"/>
            <w:vAlign w:val="bottom"/>
          </w:tcPr>
          <w:p>
            <w:pPr>
              <w:jc w:val="center"/>
              <w:ind w:right="10"/>
              <w:spacing w:after="0"/>
              <w:rPr>
                <w:sz w:val="20"/>
                <w:szCs w:val="20"/>
                <w:color w:val="auto"/>
              </w:rPr>
            </w:pPr>
            <w:r>
              <w:rPr>
                <w:rFonts w:ascii="Arial" w:cs="Arial" w:eastAsia="Arial" w:hAnsi="Arial"/>
                <w:sz w:val="14"/>
                <w:szCs w:val="14"/>
                <w:color w:val="auto"/>
                <w:w w:val="90"/>
              </w:rPr>
              <w:t>transactions</w:t>
            </w:r>
          </w:p>
        </w:tc>
        <w:tc>
          <w:tcPr>
            <w:tcW w:w="1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center"/>
              <w:ind w:right="489"/>
              <w:spacing w:after="0"/>
              <w:rPr>
                <w:sz w:val="20"/>
                <w:szCs w:val="20"/>
                <w:color w:val="auto"/>
              </w:rPr>
            </w:pPr>
            <w:r>
              <w:rPr>
                <w:rFonts w:ascii="Arial" w:cs="Arial" w:eastAsia="Arial" w:hAnsi="Arial"/>
                <w:sz w:val="14"/>
                <w:szCs w:val="14"/>
                <w:color w:val="auto"/>
                <w:w w:val="96"/>
              </w:rPr>
              <w:t>(55)%</w:t>
            </w:r>
          </w:p>
        </w:tc>
      </w:tr>
      <w:tr>
        <w:trPr>
          <w:trHeight w:val="266"/>
        </w:trPr>
        <w:tc>
          <w:tcPr>
            <w:tcW w:w="40" w:type="dxa"/>
            <w:vAlign w:val="bottom"/>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w w:val="99"/>
              </w:rPr>
              <w:t>Marketability</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160"/>
        </w:trPr>
        <w:tc>
          <w:tcPr>
            <w:tcW w:w="40" w:type="dxa"/>
            <w:vAlign w:val="bottom"/>
          </w:tcPr>
          <w:p>
            <w:pPr>
              <w:spacing w:after="0"/>
              <w:rPr>
                <w:sz w:val="13"/>
                <w:szCs w:val="13"/>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Foreclosed assets held-for-sale</w:t>
            </w:r>
          </w:p>
        </w:tc>
        <w:tc>
          <w:tcPr>
            <w:tcW w:w="2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1"/>
              </w:rPr>
              <w:t>1,148</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jc w:val="center"/>
              <w:ind w:right="489"/>
              <w:spacing w:after="0"/>
              <w:rPr>
                <w:sz w:val="20"/>
                <w:szCs w:val="20"/>
                <w:color w:val="auto"/>
              </w:rPr>
            </w:pPr>
            <w:r>
              <w:rPr>
                <w:rFonts w:ascii="Arial" w:cs="Arial" w:eastAsia="Arial" w:hAnsi="Arial"/>
                <w:sz w:val="14"/>
                <w:szCs w:val="14"/>
                <w:color w:val="auto"/>
                <w:w w:val="96"/>
              </w:rPr>
              <w:t>(10)%</w:t>
            </w:r>
          </w:p>
        </w:tc>
      </w:tr>
    </w:tbl>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489"/>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509"/>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16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Valuation Techniques</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5"/>
                <w:szCs w:val="15"/>
                <w:color w:val="auto"/>
              </w:rPr>
            </w:pPr>
          </w:p>
        </w:tc>
        <w:tc>
          <w:tcPr>
            <w:tcW w:w="148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jc w:val="right"/>
              <w:ind w:right="489"/>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center"/>
              <w:ind w:right="9"/>
              <w:spacing w:after="0"/>
              <w:rPr>
                <w:sz w:val="20"/>
                <w:szCs w:val="20"/>
                <w:color w:val="auto"/>
              </w:rPr>
            </w:pPr>
            <w:r>
              <w:rPr>
                <w:rFonts w:ascii="Arial" w:cs="Arial" w:eastAsia="Arial" w:hAnsi="Arial"/>
                <w:sz w:val="14"/>
                <w:szCs w:val="14"/>
                <w:color w:val="auto"/>
                <w:w w:val="99"/>
              </w:rPr>
              <w:t>Marketability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98</w:t>
            </w:r>
          </w:p>
        </w:tc>
        <w:tc>
          <w:tcPr>
            <w:tcW w:w="4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vMerge w:val="continue"/>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w w:val="94"/>
              </w:rPr>
              <w:t>Collateral-dependent impaired loans</w:t>
            </w:r>
          </w:p>
        </w:tc>
        <w:tc>
          <w:tcPr>
            <w:tcW w:w="2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55,454</w:t>
            </w: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(24)%</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vMerge w:val="restart"/>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tcPr>
          <w:p>
            <w:pPr>
              <w:spacing w:after="0"/>
              <w:rPr>
                <w:sz w:val="16"/>
                <w:szCs w:val="16"/>
                <w:color w:val="auto"/>
              </w:rPr>
            </w:pPr>
          </w:p>
        </w:tc>
        <w:tc>
          <w:tcPr>
            <w:tcW w:w="1220" w:type="dxa"/>
            <w:vAlign w:val="bottom"/>
            <w:vMerge w:val="restart"/>
          </w:tcPr>
          <w:p>
            <w:pPr>
              <w:jc w:val="center"/>
              <w:ind w:right="9"/>
              <w:spacing w:after="0"/>
              <w:rPr>
                <w:sz w:val="20"/>
                <w:szCs w:val="20"/>
                <w:color w:val="auto"/>
              </w:rPr>
            </w:pPr>
            <w:r>
              <w:rPr>
                <w:rFonts w:ascii="Arial" w:cs="Arial" w:eastAsia="Arial" w:hAnsi="Arial"/>
                <w:sz w:val="14"/>
                <w:szCs w:val="14"/>
                <w:color w:val="auto"/>
                <w:w w:val="99"/>
              </w:rPr>
              <w:t>Marketability</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7 %</w:t>
            </w:r>
          </w:p>
        </w:tc>
        <w:tc>
          <w:tcPr>
            <w:tcW w:w="4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600" w:type="dxa"/>
            <w:vAlign w:val="bottom"/>
            <w:gridSpan w:val="2"/>
          </w:tcPr>
          <w:p>
            <w:pPr>
              <w:jc w:val="right"/>
              <w:ind w:right="209"/>
              <w:spacing w:after="0"/>
              <w:rPr>
                <w:sz w:val="20"/>
                <w:szCs w:val="20"/>
                <w:color w:val="auto"/>
              </w:rPr>
            </w:pPr>
            <w:r>
              <w:rPr>
                <w:rFonts w:ascii="Arial" w:cs="Arial" w:eastAsia="Arial" w:hAnsi="Arial"/>
                <w:sz w:val="14"/>
                <w:szCs w:val="14"/>
                <w:color w:val="auto"/>
                <w:w w:val="93"/>
              </w:rPr>
              <w:t>10 %</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180" w:type="dxa"/>
            <w:vAlign w:val="bottom"/>
            <w:gridSpan w:val="2"/>
          </w:tcPr>
          <w:p>
            <w:pPr>
              <w:spacing w:after="0"/>
              <w:rPr>
                <w:sz w:val="20"/>
                <w:szCs w:val="20"/>
                <w:color w:val="auto"/>
              </w:rPr>
            </w:pPr>
            <w:r>
              <w:rPr>
                <w:rFonts w:ascii="Arial" w:cs="Arial" w:eastAsia="Arial" w:hAnsi="Arial"/>
                <w:sz w:val="14"/>
                <w:szCs w:val="14"/>
                <w:color w:val="auto"/>
              </w:rPr>
              <w:t>Foreclosed assets held-for-sale</w:t>
            </w: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49"/>
              <w:spacing w:after="0"/>
              <w:rPr>
                <w:sz w:val="20"/>
                <w:szCs w:val="20"/>
                <w:color w:val="auto"/>
              </w:rPr>
            </w:pPr>
            <w:r>
              <w:rPr>
                <w:rFonts w:ascii="Arial" w:cs="Arial" w:eastAsia="Arial" w:hAnsi="Arial"/>
                <w:sz w:val="14"/>
                <w:szCs w:val="14"/>
                <w:color w:val="auto"/>
              </w:rPr>
              <w:t>2,347</w:t>
            </w:r>
          </w:p>
        </w:tc>
        <w:tc>
          <w:tcPr>
            <w:tcW w:w="140" w:type="dxa"/>
            <w:vAlign w:val="bottom"/>
          </w:tcPr>
          <w:p>
            <w:pPr>
              <w:spacing w:after="0"/>
              <w:rPr>
                <w:sz w:val="15"/>
                <w:szCs w:val="15"/>
                <w:color w:val="auto"/>
              </w:rPr>
            </w:pPr>
          </w:p>
        </w:tc>
        <w:tc>
          <w:tcPr>
            <w:tcW w:w="1600" w:type="dxa"/>
            <w:vAlign w:val="bottom"/>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94"/>
              </w:rPr>
              <w:t>(9)%</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9019"/>
          </w:cols>
          <w:pgMar w:left="1440" w:top="459" w:right="1440" w:bottom="1440" w:gutter="0" w:footer="0" w:header="0"/>
        </w:sectPr>
      </w:pPr>
    </w:p>
    <w:bookmarkStart w:id="36" w:name="page37"/>
    <w:bookmarkEnd w:id="36"/>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8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The following tables present the estimated fair values of the Company’s financial instruments at September 30, 2021 and</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December 31, 2020:</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1810" w:type="dxa"/>
            <w:vAlign w:val="bottom"/>
            <w:tcBorders>
              <w:bottom w:val="single" w:sz="8" w:color="auto"/>
            </w:tcBorders>
            <w:gridSpan w:val="8"/>
          </w:tcPr>
          <w:p>
            <w:pPr>
              <w:jc w:val="center"/>
              <w:ind w:left="439"/>
              <w:spacing w:after="0"/>
              <w:rPr>
                <w:sz w:val="20"/>
                <w:szCs w:val="20"/>
                <w:color w:val="auto"/>
              </w:rPr>
            </w:pPr>
            <w:r>
              <w:rPr>
                <w:rFonts w:ascii="Arial" w:cs="Arial" w:eastAsia="Arial" w:hAnsi="Arial"/>
                <w:sz w:val="14"/>
                <w:szCs w:val="14"/>
                <w:b w:val="1"/>
                <w:bCs w:val="1"/>
                <w:color w:val="auto"/>
                <w:w w:val="90"/>
              </w:rPr>
              <w:t>September 30, 2021</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71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w w:val="93"/>
              </w:rPr>
              <w:t>Fair Value Measurements</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10" w:type="dxa"/>
            <w:vAlign w:val="bottom"/>
          </w:tcPr>
          <w:p>
            <w:pPr>
              <w:jc w:val="right"/>
              <w:ind w:right="149"/>
              <w:spacing w:after="0"/>
              <w:rPr>
                <w:sz w:val="20"/>
                <w:szCs w:val="20"/>
                <w:color w:val="auto"/>
              </w:rPr>
            </w:pPr>
            <w:r>
              <w:rPr>
                <w:rFonts w:ascii="Arial" w:cs="Arial" w:eastAsia="Arial" w:hAnsi="Arial"/>
                <w:sz w:val="14"/>
                <w:szCs w:val="14"/>
                <w:b w:val="1"/>
                <w:bCs w:val="1"/>
                <w:color w:val="auto"/>
                <w:w w:val="96"/>
              </w:rPr>
              <w:t>Level 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129"/>
              <w:spacing w:after="0"/>
              <w:rPr>
                <w:sz w:val="20"/>
                <w:szCs w:val="20"/>
                <w:color w:val="auto"/>
              </w:rPr>
            </w:pPr>
            <w:r>
              <w:rPr>
                <w:rFonts w:ascii="Arial" w:cs="Arial" w:eastAsia="Arial" w:hAnsi="Arial"/>
                <w:sz w:val="14"/>
                <w:szCs w:val="14"/>
                <w:b w:val="1"/>
                <w:bCs w:val="1"/>
                <w:color w:val="auto"/>
                <w:w w:val="92"/>
              </w:rPr>
              <w:t>Level 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69"/>
              <w:spacing w:after="0"/>
              <w:rPr>
                <w:sz w:val="20"/>
                <w:szCs w:val="20"/>
                <w:color w:val="auto"/>
              </w:rPr>
            </w:pPr>
            <w:r>
              <w:rPr>
                <w:rFonts w:ascii="Arial" w:cs="Arial" w:eastAsia="Arial" w:hAnsi="Arial"/>
                <w:sz w:val="14"/>
                <w:szCs w:val="14"/>
                <w:b w:val="1"/>
                <w:bCs w:val="1"/>
                <w:color w:val="auto"/>
                <w:w w:val="92"/>
              </w:rPr>
              <w:t>Level 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810" w:type="dxa"/>
            <w:vAlign w:val="bottom"/>
            <w:gridSpan w:val="8"/>
          </w:tcPr>
          <w:p>
            <w:pPr>
              <w:jc w:val="center"/>
              <w:ind w:left="419"/>
              <w:spacing w:after="0"/>
              <w:rPr>
                <w:sz w:val="20"/>
                <w:szCs w:val="20"/>
                <w:color w:val="auto"/>
              </w:rPr>
            </w:pPr>
            <w:r>
              <w:rPr>
                <w:rFonts w:ascii="Arial" w:cs="Arial" w:eastAsia="Arial" w:hAnsi="Arial"/>
                <w:sz w:val="13"/>
                <w:szCs w:val="13"/>
                <w:i w:val="1"/>
                <w:iCs w:val="1"/>
                <w:color w:val="auto"/>
                <w:w w:val="91"/>
              </w:rPr>
              <w:t>(Dollars in thousands)</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 w:type="dxa"/>
            <w:vAlign w:val="bottom"/>
          </w:tcPr>
          <w:p>
            <w:pPr>
              <w:spacing w:after="0"/>
              <w:rPr>
                <w:sz w:val="2"/>
                <w:szCs w:val="2"/>
                <w:color w:val="auto"/>
              </w:rPr>
            </w:pPr>
          </w:p>
        </w:tc>
        <w:tc>
          <w:tcPr>
            <w:tcW w:w="71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Financial Assets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60" w:type="dxa"/>
            <w:vAlign w:val="bottom"/>
          </w:tcPr>
          <w:p>
            <w:pPr>
              <w:ind w:left="80"/>
              <w:spacing w:after="0"/>
              <w:rPr>
                <w:sz w:val="20"/>
                <w:szCs w:val="20"/>
                <w:color w:val="auto"/>
              </w:rPr>
            </w:pPr>
            <w:r>
              <w:rPr>
                <w:rFonts w:ascii="Arial" w:cs="Arial" w:eastAsia="Arial" w:hAnsi="Arial"/>
                <w:sz w:val="14"/>
                <w:szCs w:val="14"/>
                <w:color w:val="auto"/>
              </w:rPr>
              <w:t>Cash and cash equivalents</w:t>
            </w: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316,722</w:t>
            </w:r>
          </w:p>
        </w:tc>
        <w:tc>
          <w:tcPr>
            <w:tcW w:w="19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10" w:type="dxa"/>
            <w:vAlign w:val="bottom"/>
          </w:tcPr>
          <w:p>
            <w:pPr>
              <w:jc w:val="right"/>
              <w:ind w:right="29"/>
              <w:spacing w:after="0"/>
              <w:rPr>
                <w:sz w:val="20"/>
                <w:szCs w:val="20"/>
                <w:color w:val="auto"/>
              </w:rPr>
            </w:pPr>
            <w:r>
              <w:rPr>
                <w:rFonts w:ascii="Arial" w:cs="Arial" w:eastAsia="Arial" w:hAnsi="Arial"/>
                <w:sz w:val="14"/>
                <w:szCs w:val="14"/>
                <w:color w:val="auto"/>
              </w:rPr>
              <w:t>316,722</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316,722</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Available-for-sale securities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708,106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708,106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708,106</w:t>
            </w:r>
          </w:p>
        </w:tc>
        <w:tc>
          <w:tcPr>
            <w:tcW w:w="0" w:type="dxa"/>
            <w:vAlign w:val="bottom"/>
          </w:tcPr>
          <w:p>
            <w:pPr>
              <w:spacing w:after="0"/>
              <w:rPr>
                <w:sz w:val="1"/>
                <w:szCs w:val="1"/>
                <w:color w:val="auto"/>
              </w:rPr>
            </w:pPr>
          </w:p>
        </w:tc>
      </w:tr>
      <w:tr>
        <w:trPr>
          <w:trHeight w:val="181"/>
        </w:trPr>
        <w:tc>
          <w:tcPr>
            <w:tcW w:w="3360" w:type="dxa"/>
            <w:vAlign w:val="bottom"/>
          </w:tcPr>
          <w:p>
            <w:pPr>
              <w:ind w:left="80"/>
              <w:spacing w:after="0"/>
              <w:rPr>
                <w:sz w:val="20"/>
                <w:szCs w:val="20"/>
                <w:color w:val="auto"/>
              </w:rPr>
            </w:pPr>
            <w:r>
              <w:rPr>
                <w:rFonts w:ascii="Arial" w:cs="Arial" w:eastAsia="Arial" w:hAnsi="Arial"/>
                <w:sz w:val="14"/>
                <w:szCs w:val="14"/>
                <w:color w:val="auto"/>
              </w:rPr>
              <w:t>Loans, net of allowance for loan losses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w w:val="99"/>
              </w:rPr>
              <w:t>4,168,965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w w:val="89"/>
              </w:rPr>
              <w:t>4,154,406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w w:val="93"/>
              </w:rPr>
              <w:t>4,154,406</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Restricted equity securities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12,885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12,885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12,885</w:t>
            </w:r>
          </w:p>
        </w:tc>
        <w:tc>
          <w:tcPr>
            <w:tcW w:w="0" w:type="dxa"/>
            <w:vAlign w:val="bottom"/>
          </w:tcPr>
          <w:p>
            <w:pPr>
              <w:spacing w:after="0"/>
              <w:rPr>
                <w:sz w:val="1"/>
                <w:szCs w:val="1"/>
                <w:color w:val="auto"/>
              </w:rPr>
            </w:pPr>
          </w:p>
        </w:tc>
      </w:tr>
      <w:tr>
        <w:trPr>
          <w:trHeight w:val="181"/>
        </w:trPr>
        <w:tc>
          <w:tcPr>
            <w:tcW w:w="3360" w:type="dxa"/>
            <w:vAlign w:val="bottom"/>
          </w:tcPr>
          <w:p>
            <w:pPr>
              <w:ind w:left="80"/>
              <w:spacing w:after="0"/>
              <w:rPr>
                <w:sz w:val="20"/>
                <w:szCs w:val="20"/>
                <w:color w:val="auto"/>
              </w:rPr>
            </w:pPr>
            <w:r>
              <w:rPr>
                <w:rFonts w:ascii="Arial" w:cs="Arial" w:eastAsia="Arial" w:hAnsi="Arial"/>
                <w:sz w:val="14"/>
                <w:szCs w:val="14"/>
                <w:color w:val="auto"/>
              </w:rPr>
              <w:t>Interest receivable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15,928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15,928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15,928</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7,521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2,224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5,297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7,521</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Derivative assets</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15,424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15,424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15,424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1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shd w:val="clear" w:color="auto" w:fill="CCEEFF"/>
              </w:rPr>
              <w:t>5,245,551</w:t>
            </w:r>
          </w:p>
        </w:tc>
        <w:tc>
          <w:tcPr>
            <w:tcW w:w="19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316,722</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741,682</w:t>
            </w:r>
          </w:p>
        </w:tc>
        <w:tc>
          <w:tcPr>
            <w:tcW w:w="20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9"/>
                <w:shd w:val="clear" w:color="auto" w:fill="CCEEFF"/>
              </w:rPr>
              <w:t>4,172,588</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3"/>
                <w:shd w:val="clear" w:color="auto" w:fill="CCEEFF"/>
              </w:rPr>
              <w:t>5,230,992</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Financial Liabilities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shd w:val="clear" w:color="auto" w:fill="CCEEFF"/>
              </w:rPr>
              <w:t>4,436,597</w:t>
            </w:r>
          </w:p>
        </w:tc>
        <w:tc>
          <w:tcPr>
            <w:tcW w:w="19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960,999</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9"/>
                <w:shd w:val="clear" w:color="auto" w:fill="CCEEFF"/>
              </w:rPr>
              <w:t>3,504,449</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3"/>
                <w:shd w:val="clear" w:color="auto" w:fill="CCEEFF"/>
              </w:rPr>
              <w:t>4,465,448</w:t>
            </w:r>
          </w:p>
        </w:tc>
        <w:tc>
          <w:tcPr>
            <w:tcW w:w="0" w:type="dxa"/>
            <w:vAlign w:val="bottom"/>
          </w:tcPr>
          <w:p>
            <w:pPr>
              <w:spacing w:after="0"/>
              <w:rPr>
                <w:sz w:val="1"/>
                <w:szCs w:val="1"/>
                <w:color w:val="auto"/>
              </w:rPr>
            </w:pPr>
          </w:p>
        </w:tc>
      </w:tr>
      <w:tr>
        <w:trPr>
          <w:trHeight w:val="181"/>
        </w:trPr>
        <w:tc>
          <w:tcPr>
            <w:tcW w:w="3360" w:type="dxa"/>
            <w:vAlign w:val="bottom"/>
          </w:tcPr>
          <w:p>
            <w:pPr>
              <w:ind w:left="80"/>
              <w:spacing w:after="0"/>
              <w:rPr>
                <w:sz w:val="20"/>
                <w:szCs w:val="20"/>
                <w:color w:val="auto"/>
              </w:rPr>
            </w:pPr>
            <w:r>
              <w:rPr>
                <w:rFonts w:ascii="Arial" w:cs="Arial" w:eastAsia="Arial" w:hAnsi="Arial"/>
                <w:sz w:val="14"/>
                <w:szCs w:val="14"/>
                <w:color w:val="auto"/>
              </w:rPr>
              <w:t>Federal Home Loan Bank advances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276,600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285,876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285,876</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borrowings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997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2,326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2,326</w:t>
            </w:r>
          </w:p>
        </w:tc>
        <w:tc>
          <w:tcPr>
            <w:tcW w:w="0" w:type="dxa"/>
            <w:vAlign w:val="bottom"/>
          </w:tcPr>
          <w:p>
            <w:pPr>
              <w:spacing w:after="0"/>
              <w:rPr>
                <w:sz w:val="1"/>
                <w:szCs w:val="1"/>
                <w:color w:val="auto"/>
              </w:rPr>
            </w:pPr>
          </w:p>
        </w:tc>
      </w:tr>
      <w:tr>
        <w:trPr>
          <w:trHeight w:val="181"/>
        </w:trPr>
        <w:tc>
          <w:tcPr>
            <w:tcW w:w="3360" w:type="dxa"/>
            <w:vAlign w:val="bottom"/>
          </w:tcPr>
          <w:p>
            <w:pPr>
              <w:ind w:left="80"/>
              <w:spacing w:after="0"/>
              <w:rPr>
                <w:sz w:val="20"/>
                <w:szCs w:val="20"/>
                <w:color w:val="auto"/>
              </w:rPr>
            </w:pPr>
            <w:r>
              <w:rPr>
                <w:rFonts w:ascii="Arial" w:cs="Arial" w:eastAsia="Arial" w:hAnsi="Arial"/>
                <w:sz w:val="14"/>
                <w:szCs w:val="14"/>
                <w:color w:val="auto"/>
              </w:rPr>
              <w:t>Interest payable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1,463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1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1,463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Derivative liabilities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15,628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tcBorders>
              <w:bottom w:val="single" w:sz="8" w:color="auto"/>
            </w:tcBorders>
            <w:shd w:val="clear" w:color="auto" w:fill="CCEEFF"/>
          </w:tcPr>
          <w:p>
            <w:pPr>
              <w:spacing w:after="0"/>
              <w:rPr>
                <w:sz w:val="15"/>
                <w:szCs w:val="15"/>
                <w:color w:val="auto"/>
              </w:rPr>
            </w:pPr>
          </w:p>
        </w:tc>
        <w:tc>
          <w:tcPr>
            <w:tcW w:w="71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15,628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15,628</w:t>
            </w: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9"/>
              </w:rPr>
              <w:t>4,731,285</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1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960,999</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305,293</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89"/>
              </w:rPr>
              <w:t>3,504,449</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3"/>
              </w:rPr>
              <w:t>4,770,741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jc w:val="center"/>
              <w:ind w:left="409"/>
              <w:spacing w:after="0"/>
              <w:rPr>
                <w:sz w:val="20"/>
                <w:szCs w:val="20"/>
                <w:color w:val="auto"/>
              </w:rPr>
            </w:pPr>
            <w:r>
              <w:rPr>
                <w:rFonts w:ascii="Arial" w:cs="Arial" w:eastAsia="Arial" w:hAnsi="Arial"/>
                <w:sz w:val="14"/>
                <w:szCs w:val="14"/>
                <w:b w:val="1"/>
                <w:bCs w:val="1"/>
                <w:color w:val="auto"/>
                <w:w w:val="91"/>
              </w:rPr>
              <w:t>December 31, 2020</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w w:val="92"/>
              </w:rPr>
              <w:t>Fair Value Measurements</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2"/>
              </w:rPr>
              <w:t>Level 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2"/>
              </w:rPr>
              <w:t>Level 2</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2"/>
              </w:rPr>
              <w:t>Level 3</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7"/>
          </w:tcPr>
          <w:p>
            <w:pPr>
              <w:jc w:val="center"/>
              <w:ind w:left="409"/>
              <w:spacing w:after="0"/>
              <w:rPr>
                <w:sz w:val="20"/>
                <w:szCs w:val="20"/>
                <w:color w:val="auto"/>
              </w:rPr>
            </w:pPr>
            <w:r>
              <w:rPr>
                <w:rFonts w:ascii="Arial" w:cs="Arial" w:eastAsia="Arial" w:hAnsi="Arial"/>
                <w:sz w:val="13"/>
                <w:szCs w:val="13"/>
                <w:i w:val="1"/>
                <w:iCs w:val="1"/>
                <w:color w:val="auto"/>
                <w:w w:val="91"/>
              </w:rPr>
              <w:t>(Dollars in thousands)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Financial Assets</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Cash and cash equivalents</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408,810</w:t>
            </w: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408,810</w:t>
            </w:r>
          </w:p>
        </w:tc>
        <w:tc>
          <w:tcPr>
            <w:tcW w:w="1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408,810</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Available-for-sale securities</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654,588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654,588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654,588</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Loans, net of allowance for loan losses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4,366,602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w w:val="93"/>
              </w:rPr>
              <w:t>4,351,970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w w:val="93"/>
              </w:rPr>
              <w:t>4,351,970</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 equity securities</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15,543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15,543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15,543</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Interest receivable</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17,236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17,236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17,236</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13,436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2,247</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11,189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13,436</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Derivative assets</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24,094</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24,094</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24,094</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shd w:val="clear" w:color="auto" w:fill="CCEEFF"/>
              </w:rPr>
              <w:t>5,500,309</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408,810</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698,165</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3"/>
                <w:shd w:val="clear" w:color="auto" w:fill="CCEEFF"/>
              </w:rPr>
              <w:t>4,378,702</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3"/>
                <w:shd w:val="clear" w:color="auto" w:fill="CCEEFF"/>
              </w:rPr>
              <w:t>5,485,677</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Liabilities</w:t>
            </w: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Deposits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shd w:val="clear" w:color="auto" w:fill="CCEEFF"/>
              </w:rPr>
              <w:t>4,694,740</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718,459</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3"/>
                <w:shd w:val="clear" w:color="auto" w:fill="CCEEFF"/>
              </w:rPr>
              <w:t>4,015,792</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3"/>
                <w:shd w:val="clear" w:color="auto" w:fill="CCEEFF"/>
              </w:rPr>
              <w:t>4,734,251</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w w:val="93"/>
              </w:rPr>
              <w:t>Federal funds purchased and repurchase agreements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2,306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2,306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2,306</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Federal Home Loan Bank advances</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293,100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309,020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309,020</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Other borrowings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963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2,024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payable</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2,163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2,163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2,163</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4"/>
                <w:szCs w:val="14"/>
                <w:color w:val="auto"/>
              </w:rPr>
              <w:t>Derivative liabilities</w:t>
            </w:r>
          </w:p>
        </w:tc>
        <w:tc>
          <w:tcPr>
            <w:tcW w:w="2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24,454</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24,454</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24,454</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shd w:val="clear" w:color="auto" w:fill="CCEEFF"/>
              </w:rPr>
              <w:t>5,017,726</w:t>
            </w:r>
          </w:p>
        </w:tc>
        <w:tc>
          <w:tcPr>
            <w:tcW w:w="2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718,459</w:t>
            </w:r>
          </w:p>
        </w:tc>
        <w:tc>
          <w:tcPr>
            <w:tcW w:w="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339,967</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93"/>
                <w:shd w:val="clear" w:color="auto" w:fill="CCEEFF"/>
              </w:rPr>
              <w:t>4,015,792</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93"/>
                <w:shd w:val="clear" w:color="auto" w:fill="CCEEFF"/>
              </w:rPr>
              <w:t>5,074,218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9019"/>
          </w:cols>
          <w:pgMar w:left="1440" w:top="459" w:right="1440" w:bottom="1440" w:gutter="0" w:footer="0" w:header="0"/>
        </w:sectPr>
      </w:pPr>
    </w:p>
    <w:bookmarkStart w:id="37" w:name="page38"/>
    <w:bookmarkEnd w:id="37"/>
    <w:p>
      <w:pPr>
        <w:ind w:left="580"/>
        <w:spacing w:after="0"/>
        <w:tabs>
          <w:tab w:leader="none" w:pos="290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Consolidated Financial Statements (unaudited)</w:t>
      </w:r>
    </w:p>
    <w:p>
      <w:pPr>
        <w:spacing w:after="0" w:line="373"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5"/>
          <w:szCs w:val="15"/>
          <w:b w:val="1"/>
          <w:bCs w:val="1"/>
          <w:color w:val="auto"/>
        </w:rPr>
        <w:t>Commitments and Credit Risk</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Commitments</w:t>
      </w:r>
    </w:p>
    <w:p>
      <w:pPr>
        <w:spacing w:after="0" w:line="16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Company had the following commitments at September 30, 2021 and December 31, 2020:</w:t>
      </w:r>
    </w:p>
    <w:p>
      <w:pPr>
        <w:spacing w:after="0" w:line="80"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91"/>
              </w:rPr>
              <w:t>September 30, 2021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3"/>
              </w:rPr>
              <w:t>December 31, 2020</w:t>
            </w:r>
          </w:p>
        </w:tc>
      </w:tr>
      <w:tr>
        <w:trPr>
          <w:trHeight w:val="204"/>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5"/>
          </w:tcPr>
          <w:p>
            <w:pPr>
              <w:jc w:val="right"/>
              <w:ind w:right="869"/>
              <w:spacing w:after="0"/>
              <w:rPr>
                <w:sz w:val="20"/>
                <w:szCs w:val="20"/>
                <w:color w:val="auto"/>
              </w:rPr>
            </w:pPr>
            <w:r>
              <w:rPr>
                <w:rFonts w:ascii="Arial" w:cs="Arial" w:eastAsia="Arial" w:hAnsi="Arial"/>
                <w:sz w:val="13"/>
                <w:szCs w:val="13"/>
                <w:i w:val="1"/>
                <w:iCs w:val="1"/>
                <w:color w:val="auto"/>
              </w:rPr>
              <w:t>(Dollars in thousands)</w:t>
            </w:r>
          </w:p>
        </w:tc>
      </w:tr>
      <w:tr>
        <w:trPr>
          <w:trHeight w:val="181"/>
        </w:trPr>
        <w:tc>
          <w:tcPr>
            <w:tcW w:w="4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Commitments to originate loans</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238,863</w:t>
            </w: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99,596</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Standby letters of credit</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50,669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48,607</w:t>
            </w:r>
          </w:p>
        </w:tc>
      </w:tr>
      <w:tr>
        <w:trPr>
          <w:trHeight w:val="181"/>
        </w:trPr>
        <w:tc>
          <w:tcPr>
            <w:tcW w:w="4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Lines of credit</w:t>
            </w:r>
          </w:p>
        </w:tc>
        <w:tc>
          <w:tcPr>
            <w:tcW w:w="1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1,423,363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1,423,038</w:t>
            </w:r>
          </w:p>
        </w:tc>
      </w:tr>
      <w:tr>
        <w:trPr>
          <w:trHeight w:val="172"/>
        </w:trPr>
        <w:tc>
          <w:tcPr>
            <w:tcW w:w="4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4"/>
                <w:szCs w:val="14"/>
                <w:color w:val="auto"/>
              </w:rPr>
              <w:t>Total</w:t>
            </w:r>
          </w:p>
        </w:tc>
        <w:tc>
          <w:tcPr>
            <w:tcW w:w="16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1,712,895</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1,571,241</w:t>
            </w:r>
          </w:p>
        </w:tc>
      </w:tr>
      <w:tr>
        <w:trPr>
          <w:trHeight w:val="20"/>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Legal and Regulatory Proceedings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General Litigation</w:t>
      </w:r>
    </w:p>
    <w:p>
      <w:pPr>
        <w:spacing w:after="0" w:line="161" w:lineRule="exact"/>
        <w:rPr>
          <w:sz w:val="20"/>
          <w:szCs w:val="20"/>
          <w:color w:val="auto"/>
        </w:rPr>
      </w:pPr>
    </w:p>
    <w:p>
      <w:pPr>
        <w:ind w:left="660" w:right="1099" w:firstLine="395"/>
        <w:spacing w:after="0" w:line="309" w:lineRule="auto"/>
        <w:rPr>
          <w:sz w:val="20"/>
          <w:szCs w:val="20"/>
          <w:color w:val="auto"/>
        </w:rPr>
      </w:pPr>
      <w:r>
        <w:rPr>
          <w:rFonts w:ascii="Arial" w:cs="Arial" w:eastAsia="Arial" w:hAnsi="Arial"/>
          <w:sz w:val="14"/>
          <w:szCs w:val="14"/>
          <w:color w:val="auto"/>
        </w:rPr>
        <w:t>The Company is subject to claims and lawsuits that arise primarily in the ordinary course of business. It is the opinion of management the disposition or ultimate resolution of such claims and lawsuits will not have a material adverse effect on the consolidated financial position, results of operations and cash flows of the Company.</w:t>
      </w:r>
    </w:p>
    <w:p>
      <w:pPr>
        <w:spacing w:after="0" w:line="254"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4"/>
          <w:szCs w:val="14"/>
          <w:b w:val="1"/>
          <w:bCs w:val="1"/>
          <w:color w:val="auto"/>
        </w:rPr>
        <w:t>Subsequent Events</w:t>
      </w:r>
    </w:p>
    <w:p>
      <w:pPr>
        <w:spacing w:after="0" w:line="177" w:lineRule="exact"/>
        <w:rPr>
          <w:sz w:val="20"/>
          <w:szCs w:val="20"/>
          <w:color w:val="auto"/>
        </w:rPr>
      </w:pPr>
    </w:p>
    <w:p>
      <w:pPr>
        <w:ind w:left="660" w:right="759" w:firstLine="395"/>
        <w:spacing w:after="0" w:line="358" w:lineRule="auto"/>
        <w:rPr>
          <w:sz w:val="20"/>
          <w:szCs w:val="20"/>
          <w:color w:val="auto"/>
        </w:rPr>
      </w:pPr>
      <w:r>
        <w:rPr>
          <w:rFonts w:ascii="Arial" w:cs="Arial" w:eastAsia="Arial" w:hAnsi="Arial"/>
          <w:sz w:val="13"/>
          <w:szCs w:val="13"/>
          <w:color w:val="auto"/>
        </w:rPr>
        <w:t>On October 18, 2021, the Company announced that its Board of Directors adopted a new stock repurchase program. Under the repurchase program, the Company may repurchase Company common stock with up to $30 million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9019"/>
          </w:cols>
          <w:pgMar w:left="1440" w:top="459" w:right="1440" w:bottom="1440" w:gutter="0" w:footer="0" w:header="0"/>
        </w:sectPr>
      </w:pPr>
    </w:p>
    <w:bookmarkStart w:id="38" w:name="page39"/>
    <w:bookmarkEnd w:id="38"/>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2" w:lineRule="exact"/>
        <w:rPr>
          <w:sz w:val="20"/>
          <w:szCs w:val="20"/>
          <w:color w:val="auto"/>
        </w:rPr>
      </w:pPr>
    </w:p>
    <w:p>
      <w:pPr>
        <w:ind w:left="680" w:right="679"/>
        <w:spacing w:after="0" w:line="313" w:lineRule="auto"/>
        <w:rPr>
          <w:sz w:val="20"/>
          <w:szCs w:val="20"/>
          <w:color w:val="auto"/>
        </w:rPr>
      </w:pPr>
      <w:r>
        <w:rPr>
          <w:rFonts w:ascii="Arial" w:cs="Arial" w:eastAsia="Arial" w:hAnsi="Arial"/>
          <w:sz w:val="17"/>
          <w:szCs w:val="17"/>
          <w:color w:val="auto"/>
        </w:rPr>
        <w:t>ITEM 2. MANAGEMENT’S DISCUSSION AND ANALYSIS OF FINANCIAL CONDITION AND RESULTS OF OPERATIONS</w:t>
      </w:r>
    </w:p>
    <w:p>
      <w:pPr>
        <w:spacing w:after="0" w:line="93" w:lineRule="exact"/>
        <w:rPr>
          <w:sz w:val="20"/>
          <w:szCs w:val="20"/>
          <w:color w:val="auto"/>
        </w:rPr>
      </w:pPr>
    </w:p>
    <w:p>
      <w:pPr>
        <w:ind w:left="680" w:right="579" w:firstLine="384"/>
        <w:spacing w:after="0" w:line="295" w:lineRule="auto"/>
        <w:rPr>
          <w:sz w:val="20"/>
          <w:szCs w:val="20"/>
          <w:color w:val="auto"/>
        </w:rPr>
      </w:pPr>
      <w:r>
        <w:rPr>
          <w:rFonts w:ascii="Arial" w:cs="Arial" w:eastAsia="Arial" w:hAnsi="Arial"/>
          <w:sz w:val="14"/>
          <w:szCs w:val="14"/>
          <w:color w:val="auto"/>
        </w:rPr>
        <w:t>The following discussion and analysis should be read in conjunction with the consolidated financial statements and related notes and with the statistical information and financial data appearing in this report as well as in the Company’s Annual Report on Form 10-K for the fiscal year ended December 31, 2020 filed with the Securities and Exchange Commission (“SEC”) on February 26, 2021 (the “2020 Form 10-K”). Results of operations for the three- and nine-month periods ended September 30, 2021 are not necessarily indicative of results to be attained for any other period. Certain statements in this report contain forward-looking statements regarding our plans, objectives, beliefs, expectations, representations and projections. See “Forward-Looking Information” which is incorporated herein by reference. Actual results could differ materially from the anticipated results and other expectations expressed in our forward-looking statements because of several factors, including but not limited to those discussed in Item 1A – "Risk Factors" in the 2020 Form 10-K.</w:t>
      </w:r>
    </w:p>
    <w:p>
      <w:pPr>
        <w:spacing w:after="0" w:line="118" w:lineRule="exact"/>
        <w:rPr>
          <w:sz w:val="20"/>
          <w:szCs w:val="20"/>
          <w:color w:val="auto"/>
        </w:rPr>
      </w:pPr>
    </w:p>
    <w:p>
      <w:pPr>
        <w:jc w:val="both"/>
        <w:ind w:left="680" w:right="779" w:firstLine="384"/>
        <w:spacing w:after="0" w:line="301" w:lineRule="auto"/>
        <w:rPr>
          <w:sz w:val="20"/>
          <w:szCs w:val="20"/>
          <w:color w:val="auto"/>
        </w:rPr>
      </w:pPr>
      <w:r>
        <w:rPr>
          <w:rFonts w:ascii="Arial" w:cs="Arial" w:eastAsia="Arial" w:hAnsi="Arial"/>
          <w:sz w:val="14"/>
          <w:szCs w:val="14"/>
          <w:color w:val="auto"/>
        </w:rPr>
        <w:t>Unless we state otherwise or the context otherwise requires, references in the below section to “we,” “our,” “us,” “ourselves,” “our company,” and the “Company” refer to CrossFirst Bankshares, Inc., and its consolidated subsidiaries. References to “CrossFirst Bank” and the “Bank” refer to CrossFirst Bank, our wholly owned consolidated bank subsidiary.</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Third Quarter 2021 Highlights</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During the third quarter ended September 30, 2021, we accomplished the following:</w:t>
      </w:r>
    </w:p>
    <w:p>
      <w:pPr>
        <w:spacing w:after="0" w:line="170" w:lineRule="exact"/>
        <w:rPr>
          <w:sz w:val="20"/>
          <w:szCs w:val="20"/>
          <w:color w:val="auto"/>
        </w:rPr>
      </w:pPr>
    </w:p>
    <w:p>
      <w:pPr>
        <w:ind w:left="1300" w:hanging="253"/>
        <w:spacing w:after="0"/>
        <w:tabs>
          <w:tab w:leader="none" w:pos="1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$5.4 billion of assets at period end with 162% net income growth compared to the third quarter of 2020;</w:t>
      </w:r>
    </w:p>
    <w:p>
      <w:pPr>
        <w:spacing w:after="0" w:line="169" w:lineRule="exact"/>
        <w:rPr>
          <w:rFonts w:ascii="Arial" w:cs="Arial" w:eastAsia="Arial" w:hAnsi="Arial"/>
          <w:sz w:val="14"/>
          <w:szCs w:val="14"/>
          <w:color w:val="auto"/>
        </w:rPr>
      </w:pPr>
    </w:p>
    <w:p>
      <w:pPr>
        <w:ind w:left="1300" w:hanging="253"/>
        <w:spacing w:after="0"/>
        <w:tabs>
          <w:tab w:leader="none" w:pos="1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Return on Average Assets of 1.54% and a Return on Equity of 12.92%;</w:t>
      </w:r>
    </w:p>
    <w:p>
      <w:pPr>
        <w:spacing w:after="0" w:line="180" w:lineRule="exact"/>
        <w:rPr>
          <w:rFonts w:ascii="Arial" w:cs="Arial" w:eastAsia="Arial" w:hAnsi="Arial"/>
          <w:sz w:val="14"/>
          <w:szCs w:val="14"/>
          <w:color w:val="auto"/>
        </w:rPr>
      </w:pPr>
    </w:p>
    <w:p>
      <w:pPr>
        <w:ind w:left="1300" w:hanging="253"/>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Efficiency ratio of 59.06% for the third quarter of 2021, impacted by a $6.2 million unrealized loss on an equity security;</w:t>
      </w:r>
    </w:p>
    <w:p>
      <w:pPr>
        <w:spacing w:after="0" w:line="181" w:lineRule="exact"/>
        <w:rPr>
          <w:rFonts w:ascii="Arial" w:cs="Arial" w:eastAsia="Arial" w:hAnsi="Arial"/>
          <w:sz w:val="13"/>
          <w:szCs w:val="13"/>
          <w:color w:val="auto"/>
        </w:rPr>
      </w:pPr>
    </w:p>
    <w:p>
      <w:pPr>
        <w:ind w:left="1300" w:hanging="253"/>
        <w:spacing w:after="0"/>
        <w:tabs>
          <w:tab w:leader="none" w:pos="1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Interest Margin (Fully Tax-Equivalent) of 3.20% compared to 3.12% in the previous quarter;</w:t>
      </w:r>
    </w:p>
    <w:p>
      <w:pPr>
        <w:spacing w:after="0" w:line="180" w:lineRule="exact"/>
        <w:rPr>
          <w:rFonts w:ascii="Arial" w:cs="Arial" w:eastAsia="Arial" w:hAnsi="Arial"/>
          <w:sz w:val="14"/>
          <w:szCs w:val="14"/>
          <w:color w:val="auto"/>
        </w:rPr>
      </w:pPr>
    </w:p>
    <w:p>
      <w:pPr>
        <w:ind w:left="1300" w:right="659" w:hanging="253"/>
        <w:spacing w:after="0" w:line="316" w:lineRule="auto"/>
        <w:tabs>
          <w:tab w:leader="none" w:pos="1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Noninterest-bearing deposit growth of 27% from September 30, 2020 and accounted for 22% of total deposits at September 30, 2021; and</w:t>
      </w:r>
    </w:p>
    <w:p>
      <w:pPr>
        <w:spacing w:after="0" w:line="98" w:lineRule="exact"/>
        <w:rPr>
          <w:rFonts w:ascii="Arial" w:cs="Arial" w:eastAsia="Arial" w:hAnsi="Arial"/>
          <w:sz w:val="14"/>
          <w:szCs w:val="14"/>
          <w:color w:val="auto"/>
        </w:rPr>
      </w:pPr>
    </w:p>
    <w:p>
      <w:pPr>
        <w:ind w:left="1300" w:hanging="253"/>
        <w:spacing w:after="0"/>
        <w:tabs>
          <w:tab w:leader="none" w:pos="1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Book value per share of $12.79 at September 30, 2021 compared to $11.84 at September 30, 2020.</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Update on the COVID-19 Global Pandemic (“COVID-19”) Impact</w:t>
      </w:r>
    </w:p>
    <w:p>
      <w:pPr>
        <w:spacing w:after="0" w:line="177" w:lineRule="exact"/>
        <w:rPr>
          <w:sz w:val="20"/>
          <w:szCs w:val="20"/>
          <w:color w:val="auto"/>
        </w:rPr>
      </w:pPr>
    </w:p>
    <w:p>
      <w:pPr>
        <w:jc w:val="both"/>
        <w:ind w:left="680" w:right="579" w:firstLine="384"/>
        <w:spacing w:after="0" w:line="342" w:lineRule="auto"/>
        <w:rPr>
          <w:sz w:val="20"/>
          <w:szCs w:val="20"/>
          <w:color w:val="auto"/>
        </w:rPr>
      </w:pPr>
      <w:r>
        <w:rPr>
          <w:rFonts w:ascii="Arial" w:cs="Arial" w:eastAsia="Arial" w:hAnsi="Arial"/>
          <w:sz w:val="13"/>
          <w:szCs w:val="13"/>
          <w:color w:val="auto"/>
        </w:rPr>
        <w:t>The COVID-19 pandemic has caused, and may continue to cause, economic uncertainty and a disruption to the financial markets, the duration and extent of which is not currently known. A discussion of the impact of the COVID-19 pandemic on the Company and its operations and measures undertaken by the Company in response thereto is provided below.</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Bank Operations</w:t>
      </w:r>
    </w:p>
    <w:p>
      <w:pPr>
        <w:spacing w:after="0" w:line="161" w:lineRule="exact"/>
        <w:rPr>
          <w:sz w:val="20"/>
          <w:szCs w:val="20"/>
          <w:color w:val="auto"/>
        </w:rPr>
      </w:pPr>
    </w:p>
    <w:p>
      <w:pPr>
        <w:ind w:left="680" w:right="759" w:firstLine="384"/>
        <w:spacing w:after="0" w:line="380" w:lineRule="auto"/>
        <w:rPr>
          <w:sz w:val="20"/>
          <w:szCs w:val="20"/>
          <w:color w:val="auto"/>
        </w:rPr>
      </w:pPr>
      <w:r>
        <w:rPr>
          <w:rFonts w:ascii="Arial" w:cs="Arial" w:eastAsia="Arial" w:hAnsi="Arial"/>
          <w:sz w:val="12"/>
          <w:szCs w:val="12"/>
          <w:color w:val="auto"/>
        </w:rPr>
        <w:t>The Company implemented its business continuity procedures in March 2020 because of the COVID-19 pandemic. In April 2021, substantially all employees returned to on-premises work and the Company is evaluating hybrid working opportunities. In addition, the Bank’s lobbies were re-opened to the public. No material interruptions to our business operations have occurred to date.</w:t>
      </w:r>
    </w:p>
    <w:p>
      <w:pPr>
        <w:spacing w:after="0" w:line="56"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Paycheck Protection Program (“PPP”) Lending Facility and Loans</w:t>
      </w:r>
    </w:p>
    <w:p>
      <w:pPr>
        <w:spacing w:after="0" w:line="172" w:lineRule="exact"/>
        <w:rPr>
          <w:sz w:val="20"/>
          <w:szCs w:val="20"/>
          <w:color w:val="auto"/>
        </w:rPr>
      </w:pPr>
    </w:p>
    <w:p>
      <w:pPr>
        <w:ind w:left="680" w:right="579" w:firstLine="384"/>
        <w:spacing w:after="0" w:line="325" w:lineRule="auto"/>
        <w:rPr>
          <w:sz w:val="20"/>
          <w:szCs w:val="20"/>
          <w:color w:val="auto"/>
        </w:rPr>
      </w:pPr>
      <w:r>
        <w:rPr>
          <w:rFonts w:ascii="Arial" w:cs="Arial" w:eastAsia="Arial" w:hAnsi="Arial"/>
          <w:sz w:val="13"/>
          <w:szCs w:val="13"/>
          <w:color w:val="auto"/>
        </w:rPr>
        <w:t>The PPP was established by the Coronavirus Aid, Relief, and Economic Security Act (“CARES Act”) in March 2020 and authorized forgivable loans to small businesses. The Bank provided PPP loans to support current customers and foster relationships with new customers. The loans earn interest at 1%, include fees between 1% and 5% and typically mature in two years. The loans originated under the PPP received a 0% risk weight under the regulatory capital rules which resulted in increased Common Equity Tier 1, Tier 1, and Tier 2 capital ratios, but the PPP loans are included in the calculation of our Leverage ratio.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9019"/>
          </w:cols>
          <w:pgMar w:left="1440" w:top="406" w:right="1440" w:bottom="1440" w:gutter="0" w:footer="0" w:header="0"/>
        </w:sectPr>
      </w:pPr>
    </w:p>
    <w:bookmarkStart w:id="39" w:name="page40"/>
    <w:bookmarkEnd w:id="39"/>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680" w:right="639" w:firstLine="384"/>
        <w:spacing w:after="0" w:line="309" w:lineRule="auto"/>
        <w:rPr>
          <w:sz w:val="20"/>
          <w:szCs w:val="20"/>
          <w:color w:val="auto"/>
        </w:rPr>
      </w:pPr>
      <w:r>
        <w:rPr>
          <w:rFonts w:ascii="Arial" w:cs="Arial" w:eastAsia="Arial" w:hAnsi="Arial"/>
          <w:sz w:val="14"/>
          <w:szCs w:val="14"/>
          <w:color w:val="auto"/>
        </w:rPr>
        <w:t>The Consolidated Appropriations Act of 2021 allocated additional PPP funding. The second round of PPP loans have similar terms to the first round of PPP loans mentioned above, but typically mature in five years. The PPP loans were available through May 5, 2021.</w:t>
      </w:r>
    </w:p>
    <w:p>
      <w:pPr>
        <w:spacing w:after="0" w:line="93"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The following table summarizes the impact of the PPP loans on our financials:</w:t>
      </w:r>
    </w:p>
    <w:p>
      <w:pPr>
        <w:spacing w:after="0" w:line="48"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As of or for the Three Months Ended</w:t>
            </w:r>
          </w:p>
        </w:tc>
        <w:tc>
          <w:tcPr>
            <w:tcW w:w="120" w:type="dxa"/>
            <w:vAlign w:val="bottom"/>
          </w:tcPr>
          <w:p>
            <w:pPr>
              <w:spacing w:after="0"/>
              <w:rPr>
                <w:sz w:val="15"/>
                <w:szCs w:val="15"/>
                <w:color w:val="auto"/>
              </w:rPr>
            </w:pPr>
          </w:p>
        </w:tc>
        <w:tc>
          <w:tcPr>
            <w:tcW w:w="23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As of or for the Nine Months Ended</w:t>
            </w:r>
          </w:p>
        </w:tc>
      </w:tr>
      <w:tr>
        <w:trPr>
          <w:trHeight w:val="175"/>
        </w:trPr>
        <w:tc>
          <w:tcPr>
            <w:tcW w:w="2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3"/>
        </w:trPr>
        <w:tc>
          <w:tcPr>
            <w:tcW w:w="2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r>
      <w:tr>
        <w:trPr>
          <w:trHeight w:val="204"/>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gridSpan w:val="4"/>
          </w:tcPr>
          <w:p>
            <w:pPr>
              <w:jc w:val="right"/>
              <w:ind w:right="669"/>
              <w:spacing w:after="0"/>
              <w:rPr>
                <w:sz w:val="20"/>
                <w:szCs w:val="20"/>
                <w:color w:val="auto"/>
              </w:rPr>
            </w:pPr>
            <w:r>
              <w:rPr>
                <w:rFonts w:ascii="Arial" w:cs="Arial" w:eastAsia="Arial" w:hAnsi="Arial"/>
                <w:sz w:val="13"/>
                <w:szCs w:val="13"/>
                <w:i w:val="1"/>
                <w:iCs w:val="1"/>
                <w:color w:val="auto"/>
              </w:rPr>
              <w:t>(Dollars in thousands)</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1"/>
        </w:trPr>
        <w:tc>
          <w:tcPr>
            <w:tcW w:w="2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PPP Loan Activity</w:t>
            </w:r>
          </w:p>
        </w:tc>
        <w:tc>
          <w:tcPr>
            <w:tcW w:w="100" w:type="dxa"/>
            <w:vAlign w:val="bottom"/>
            <w:shd w:val="clear" w:color="auto" w:fill="CCEEFF"/>
          </w:tcPr>
          <w:p>
            <w:pPr>
              <w:spacing w:after="0"/>
              <w:rPr>
                <w:sz w:val="15"/>
                <w:szCs w:val="15"/>
                <w:color w:val="auto"/>
              </w:rPr>
            </w:pPr>
          </w:p>
        </w:tc>
        <w:tc>
          <w:tcPr>
            <w:tcW w:w="118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800" w:type="dxa"/>
            <w:vAlign w:val="bottom"/>
          </w:tcPr>
          <w:p>
            <w:pPr>
              <w:ind w:left="100"/>
              <w:spacing w:after="0"/>
              <w:rPr>
                <w:sz w:val="20"/>
                <w:szCs w:val="20"/>
                <w:color w:val="auto"/>
              </w:rPr>
            </w:pPr>
            <w:r>
              <w:rPr>
                <w:rFonts w:ascii="Arial" w:cs="Arial" w:eastAsia="Arial" w:hAnsi="Arial"/>
                <w:sz w:val="14"/>
                <w:szCs w:val="14"/>
                <w:color w:val="auto"/>
              </w:rPr>
              <w:t>Outstanding loan balance, beginning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197,084</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369,022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292,230</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 increases</w:t>
            </w:r>
          </w:p>
        </w:tc>
        <w:tc>
          <w:tcPr>
            <w:tcW w:w="100" w:type="dxa"/>
            <w:vAlign w:val="bottom"/>
            <w:shd w:val="clear" w:color="auto" w:fill="CCEEFF"/>
          </w:tcPr>
          <w:p>
            <w:pPr>
              <w:spacing w:after="0"/>
              <w:rPr>
                <w:sz w:val="15"/>
                <w:szCs w:val="15"/>
                <w:color w:val="auto"/>
              </w:rPr>
            </w:pPr>
          </w:p>
        </w:tc>
        <w:tc>
          <w:tcPr>
            <w:tcW w:w="11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133,778</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369,260</w:t>
            </w:r>
          </w:p>
        </w:tc>
        <w:tc>
          <w:tcPr>
            <w:tcW w:w="20" w:type="dxa"/>
            <w:vAlign w:val="bottom"/>
          </w:tcPr>
          <w:p>
            <w:pPr>
              <w:spacing w:after="0"/>
              <w:rPr>
                <w:sz w:val="15"/>
                <w:szCs w:val="15"/>
                <w:color w:val="auto"/>
              </w:rPr>
            </w:pPr>
          </w:p>
        </w:tc>
      </w:tr>
      <w:tr>
        <w:trPr>
          <w:trHeight w:val="181"/>
        </w:trPr>
        <w:tc>
          <w:tcPr>
            <w:tcW w:w="2800" w:type="dxa"/>
            <w:vAlign w:val="bottom"/>
          </w:tcPr>
          <w:p>
            <w:pPr>
              <w:ind w:left="100"/>
              <w:spacing w:after="0"/>
              <w:rPr>
                <w:sz w:val="20"/>
                <w:szCs w:val="20"/>
                <w:color w:val="auto"/>
              </w:rPr>
            </w:pPr>
            <w:r>
              <w:rPr>
                <w:rFonts w:ascii="Arial" w:cs="Arial" w:eastAsia="Arial" w:hAnsi="Arial"/>
                <w:sz w:val="14"/>
                <w:szCs w:val="14"/>
                <w:color w:val="auto"/>
              </w:rPr>
              <w:t>Loan payoffs</w:t>
            </w:r>
          </w:p>
        </w:tc>
        <w:tc>
          <w:tcPr>
            <w:tcW w:w="100" w:type="dxa"/>
            <w:vAlign w:val="bottom"/>
          </w:tcPr>
          <w:p>
            <w:pPr>
              <w:spacing w:after="0"/>
              <w:rPr>
                <w:sz w:val="15"/>
                <w:szCs w:val="15"/>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(87,619)</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(316,543)</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Outstanding loan balance, end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109,465</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369,260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109,465</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369,260</w:t>
            </w:r>
          </w:p>
        </w:tc>
        <w:tc>
          <w:tcPr>
            <w:tcW w:w="20" w:type="dxa"/>
            <w:vAlign w:val="bottom"/>
          </w:tcPr>
          <w:p>
            <w:pPr>
              <w:spacing w:after="0"/>
              <w:rPr>
                <w:sz w:val="15"/>
                <w:szCs w:val="15"/>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4"/>
        </w:trPr>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PPP Loan Fee Activity</w:t>
            </w:r>
          </w:p>
        </w:tc>
        <w:tc>
          <w:tcPr>
            <w:tcW w:w="100" w:type="dxa"/>
            <w:vAlign w:val="bottom"/>
            <w:shd w:val="clear" w:color="auto" w:fill="CCEEFF"/>
          </w:tcPr>
          <w:p>
            <w:pPr>
              <w:spacing w:after="0"/>
              <w:rPr>
                <w:sz w:val="15"/>
                <w:szCs w:val="15"/>
                <w:color w:val="auto"/>
              </w:rPr>
            </w:pPr>
          </w:p>
        </w:tc>
        <w:tc>
          <w:tcPr>
            <w:tcW w:w="118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800" w:type="dxa"/>
            <w:vAlign w:val="bottom"/>
          </w:tcPr>
          <w:p>
            <w:pPr>
              <w:ind w:left="100"/>
              <w:spacing w:after="0"/>
              <w:rPr>
                <w:sz w:val="20"/>
                <w:szCs w:val="20"/>
                <w:color w:val="auto"/>
              </w:rPr>
            </w:pPr>
            <w:r>
              <w:rPr>
                <w:rFonts w:ascii="Arial" w:cs="Arial" w:eastAsia="Arial" w:hAnsi="Arial"/>
                <w:sz w:val="14"/>
                <w:szCs w:val="14"/>
                <w:color w:val="auto"/>
              </w:rPr>
              <w:t>Unearned fee balance, beginning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9"/>
              <w:spacing w:after="0"/>
              <w:rPr>
                <w:sz w:val="20"/>
                <w:szCs w:val="20"/>
                <w:color w:val="auto"/>
              </w:rPr>
            </w:pPr>
            <w:r>
              <w:rPr>
                <w:rFonts w:ascii="Arial" w:cs="Arial" w:eastAsia="Arial" w:hAnsi="Arial"/>
                <w:sz w:val="14"/>
                <w:szCs w:val="14"/>
                <w:color w:val="auto"/>
              </w:rPr>
              <w:t>4,708</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7,885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4,189</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2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Unearned fees added</w:t>
            </w:r>
          </w:p>
        </w:tc>
        <w:tc>
          <w:tcPr>
            <w:tcW w:w="100" w:type="dxa"/>
            <w:vAlign w:val="bottom"/>
            <w:shd w:val="clear" w:color="auto" w:fill="CCEEFF"/>
          </w:tcPr>
          <w:p>
            <w:pPr>
              <w:spacing w:after="0"/>
              <w:rPr>
                <w:sz w:val="15"/>
                <w:szCs w:val="15"/>
                <w:color w:val="auto"/>
              </w:rPr>
            </w:pPr>
          </w:p>
        </w:tc>
        <w:tc>
          <w:tcPr>
            <w:tcW w:w="11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5,062</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9,946</w:t>
            </w:r>
          </w:p>
        </w:tc>
        <w:tc>
          <w:tcPr>
            <w:tcW w:w="20" w:type="dxa"/>
            <w:vAlign w:val="bottom"/>
          </w:tcPr>
          <w:p>
            <w:pPr>
              <w:spacing w:after="0"/>
              <w:rPr>
                <w:sz w:val="15"/>
                <w:szCs w:val="15"/>
                <w:color w:val="auto"/>
              </w:rPr>
            </w:pPr>
          </w:p>
        </w:tc>
      </w:tr>
      <w:tr>
        <w:trPr>
          <w:trHeight w:val="181"/>
        </w:trPr>
        <w:tc>
          <w:tcPr>
            <w:tcW w:w="2800" w:type="dxa"/>
            <w:vAlign w:val="bottom"/>
          </w:tcPr>
          <w:p>
            <w:pPr>
              <w:ind w:left="100"/>
              <w:spacing w:after="0"/>
              <w:rPr>
                <w:sz w:val="20"/>
                <w:szCs w:val="20"/>
                <w:color w:val="auto"/>
              </w:rPr>
            </w:pPr>
            <w:r>
              <w:rPr>
                <w:rFonts w:ascii="Arial" w:cs="Arial" w:eastAsia="Arial" w:hAnsi="Arial"/>
                <w:sz w:val="14"/>
                <w:szCs w:val="14"/>
                <w:color w:val="auto"/>
              </w:rPr>
              <w:t>Earned fees recognized</w:t>
            </w:r>
          </w:p>
        </w:tc>
        <w:tc>
          <w:tcPr>
            <w:tcW w:w="100" w:type="dxa"/>
            <w:vAlign w:val="bottom"/>
          </w:tcPr>
          <w:p>
            <w:pPr>
              <w:spacing w:after="0"/>
              <w:rPr>
                <w:sz w:val="15"/>
                <w:szCs w:val="15"/>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(1,709)</w:t>
            </w:r>
          </w:p>
        </w:tc>
        <w:tc>
          <w:tcPr>
            <w:tcW w:w="4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(1,127)</w:t>
            </w:r>
          </w:p>
        </w:tc>
        <w:tc>
          <w:tcPr>
            <w:tcW w:w="12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(6,252)</w:t>
            </w:r>
          </w:p>
        </w:tc>
        <w:tc>
          <w:tcPr>
            <w:tcW w:w="4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(3,172)</w:t>
            </w:r>
          </w:p>
        </w:tc>
      </w:tr>
      <w:tr>
        <w:trPr>
          <w:trHeight w:val="20"/>
        </w:trPr>
        <w:tc>
          <w:tcPr>
            <w:tcW w:w="2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Unearned fee balance, end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2,999</w:t>
            </w:r>
          </w:p>
        </w:tc>
        <w:tc>
          <w:tcPr>
            <w:tcW w:w="42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2,999</w:t>
            </w:r>
          </w:p>
        </w:tc>
        <w:tc>
          <w:tcPr>
            <w:tcW w:w="42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6,774</w:t>
            </w:r>
          </w:p>
        </w:tc>
        <w:tc>
          <w:tcPr>
            <w:tcW w:w="20" w:type="dxa"/>
            <w:vAlign w:val="bottom"/>
          </w:tcPr>
          <w:p>
            <w:pPr>
              <w:spacing w:after="0"/>
              <w:rPr>
                <w:sz w:val="15"/>
                <w:szCs w:val="15"/>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Loan Portfolio and Credit Quality</w:t>
      </w:r>
    </w:p>
    <w:p>
      <w:pPr>
        <w:spacing w:after="0" w:line="172" w:lineRule="exact"/>
        <w:rPr>
          <w:sz w:val="20"/>
          <w:szCs w:val="20"/>
          <w:color w:val="auto"/>
        </w:rPr>
      </w:pPr>
    </w:p>
    <w:p>
      <w:pPr>
        <w:jc w:val="both"/>
        <w:ind w:left="680" w:right="599" w:firstLine="384"/>
        <w:spacing w:after="0" w:line="301" w:lineRule="auto"/>
        <w:rPr>
          <w:sz w:val="20"/>
          <w:szCs w:val="20"/>
          <w:color w:val="auto"/>
        </w:rPr>
      </w:pPr>
      <w:r>
        <w:rPr>
          <w:rFonts w:ascii="Arial" w:cs="Arial" w:eastAsia="Arial" w:hAnsi="Arial"/>
          <w:sz w:val="14"/>
          <w:szCs w:val="14"/>
          <w:color w:val="auto"/>
        </w:rPr>
        <w:t>Credit quality metrics generally improved during the third quarter of 2021 as classified assets decreased $47 million and the ratio of nonperforming assets to total assets decreased to 0.92% from 1.09% in the previous quarter. The improvement in credit metrics were primarily driven by upgrades in COVID-19 impacted segments and the energy portfolio.</w:t>
      </w:r>
    </w:p>
    <w:p>
      <w:pPr>
        <w:spacing w:after="0" w:line="109" w:lineRule="exact"/>
        <w:rPr>
          <w:sz w:val="20"/>
          <w:szCs w:val="20"/>
          <w:color w:val="auto"/>
        </w:rPr>
      </w:pPr>
    </w:p>
    <w:p>
      <w:pPr>
        <w:ind w:left="680" w:right="719" w:firstLine="384"/>
        <w:spacing w:after="0" w:line="309" w:lineRule="auto"/>
        <w:rPr>
          <w:sz w:val="20"/>
          <w:szCs w:val="20"/>
          <w:color w:val="auto"/>
        </w:rPr>
      </w:pPr>
      <w:r>
        <w:rPr>
          <w:rFonts w:ascii="Arial" w:cs="Arial" w:eastAsia="Arial" w:hAnsi="Arial"/>
          <w:sz w:val="14"/>
          <w:szCs w:val="14"/>
          <w:color w:val="auto"/>
        </w:rPr>
        <w:t>The COVID-19 pandemic impacted and may continue to impact our borrowers, which may result in additional charge-offs. However, the Company’s key credit metrics have generally improved during 2021 and are expected to continue to improve should the overall economy continue its current trajectory.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9019"/>
          </w:cols>
          <w:pgMar w:left="1440" w:top="406" w:right="1440" w:bottom="1440" w:gutter="0" w:footer="0" w:header="0"/>
        </w:sectPr>
      </w:pPr>
    </w:p>
    <w:bookmarkStart w:id="40" w:name="page41"/>
    <w:bookmarkEnd w:id="40"/>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Performance Measures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10"/>
          </w:tcPr>
          <w:p>
            <w:pPr>
              <w:jc w:val="center"/>
              <w:ind w:right="89"/>
              <w:spacing w:after="0"/>
              <w:rPr>
                <w:sz w:val="20"/>
                <w:szCs w:val="20"/>
                <w:color w:val="auto"/>
              </w:rPr>
            </w:pPr>
            <w:r>
              <w:rPr>
                <w:rFonts w:ascii="Arial" w:cs="Arial" w:eastAsia="Arial" w:hAnsi="Arial"/>
                <w:sz w:val="14"/>
                <w:szCs w:val="14"/>
                <w:b w:val="1"/>
                <w:bCs w:val="1"/>
                <w:color w:val="auto"/>
                <w:w w:val="94"/>
              </w:rPr>
              <w:t>As of or For the Quarter Ended</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89"/>
              <w:spacing w:after="0"/>
              <w:rPr>
                <w:sz w:val="20"/>
                <w:szCs w:val="20"/>
                <w:color w:val="auto"/>
              </w:rPr>
            </w:pPr>
            <w:r>
              <w:rPr>
                <w:rFonts w:ascii="Arial" w:cs="Arial" w:eastAsia="Arial" w:hAnsi="Arial"/>
                <w:sz w:val="14"/>
                <w:szCs w:val="14"/>
                <w:b w:val="1"/>
                <w:bCs w:val="1"/>
                <w:color w:val="auto"/>
                <w:w w:val="94"/>
              </w:rPr>
              <w:t>As of or for the Nine Months Ended</w:t>
            </w:r>
          </w:p>
        </w:tc>
        <w:tc>
          <w:tcPr>
            <w:tcW w:w="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49"/>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w w:val="96"/>
              </w:rPr>
              <w:t>September 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w w:val="93"/>
              </w:rPr>
              <w:t>September 30,</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10"/>
          </w:tcPr>
          <w:p>
            <w:pPr>
              <w:jc w:val="right"/>
              <w:ind w:right="209"/>
              <w:spacing w:after="0"/>
              <w:rPr>
                <w:sz w:val="20"/>
                <w:szCs w:val="20"/>
                <w:color w:val="auto"/>
              </w:rPr>
            </w:pPr>
            <w:r>
              <w:rPr>
                <w:rFonts w:ascii="Arial" w:cs="Arial" w:eastAsia="Arial" w:hAnsi="Arial"/>
                <w:sz w:val="11"/>
                <w:szCs w:val="11"/>
                <w:i w:val="1"/>
                <w:iCs w:val="1"/>
                <w:color w:val="auto"/>
              </w:rPr>
              <w:t>(Dollars in thousands, except per share data)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Return on average assets</w:t>
            </w:r>
            <w:r>
              <w:rPr>
                <w:rFonts w:ascii="Arial" w:cs="Arial" w:eastAsia="Arial" w:hAnsi="Arial"/>
                <w:sz w:val="18"/>
                <w:szCs w:val="18"/>
                <w:color w:val="auto"/>
                <w:vertAlign w:val="superscript"/>
              </w:rPr>
              <w:t>(1)</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r>
      <w:tr>
        <w:trPr>
          <w:trHeight w:val="224"/>
        </w:trPr>
        <w:tc>
          <w:tcPr>
            <w:tcW w:w="2560" w:type="dxa"/>
            <w:vAlign w:val="bottom"/>
            <w:gridSpan w:val="2"/>
          </w:tcPr>
          <w:p>
            <w:pPr>
              <w:spacing w:after="0"/>
              <w:rPr>
                <w:sz w:val="20"/>
                <w:szCs w:val="20"/>
                <w:color w:val="auto"/>
              </w:rPr>
            </w:pPr>
            <w:r>
              <w:rPr>
                <w:rFonts w:ascii="Arial" w:cs="Arial" w:eastAsia="Arial" w:hAnsi="Arial"/>
                <w:sz w:val="14"/>
                <w:szCs w:val="14"/>
                <w:color w:val="auto"/>
              </w:rPr>
              <w:t>Return on average equity</w:t>
            </w:r>
            <w:r>
              <w:rPr>
                <w:rFonts w:ascii="Arial" w:cs="Arial" w:eastAsia="Arial" w:hAnsi="Arial"/>
                <w:sz w:val="18"/>
                <w:szCs w:val="18"/>
                <w:color w:val="auto"/>
                <w:vertAlign w:val="superscript"/>
              </w:rPr>
              <w:t>(1)</w:t>
            </w:r>
          </w:p>
        </w:tc>
        <w:tc>
          <w:tcPr>
            <w:tcW w:w="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12.92 %</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9.86 %</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7.80 %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5.19 %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5.19 %</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10.24 %</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0.98 %</w:t>
            </w:r>
          </w:p>
        </w:tc>
        <w:tc>
          <w:tcPr>
            <w:tcW w:w="20" w:type="dxa"/>
            <w:vAlign w:val="bottom"/>
          </w:tcPr>
          <w:p>
            <w:pPr>
              <w:spacing w:after="0"/>
              <w:rPr>
                <w:sz w:val="19"/>
                <w:szCs w:val="19"/>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Earnings per share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0.95</w:t>
            </w:r>
          </w:p>
        </w:tc>
        <w:tc>
          <w:tcPr>
            <w:tcW w:w="1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Diluted earnings per share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0.41</w:t>
            </w:r>
          </w:p>
        </w:tc>
        <w:tc>
          <w:tcPr>
            <w:tcW w:w="16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0.30</w:t>
            </w:r>
          </w:p>
        </w:tc>
        <w:tc>
          <w:tcPr>
            <w:tcW w:w="16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0.23</w:t>
            </w:r>
          </w:p>
        </w:tc>
        <w:tc>
          <w:tcPr>
            <w:tcW w:w="16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0.15</w:t>
            </w:r>
          </w:p>
        </w:tc>
        <w:tc>
          <w:tcPr>
            <w:tcW w:w="16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0.15</w:t>
            </w:r>
          </w:p>
        </w:tc>
        <w:tc>
          <w:tcPr>
            <w:tcW w:w="16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0.93</w:t>
            </w:r>
          </w:p>
        </w:tc>
        <w:tc>
          <w:tcPr>
            <w:tcW w:w="16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0.09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Efficiency</w:t>
            </w:r>
            <w:r>
              <w:rPr>
                <w:rFonts w:ascii="Arial" w:cs="Arial" w:eastAsia="Arial" w:hAnsi="Arial"/>
                <w:sz w:val="18"/>
                <w:szCs w:val="18"/>
                <w:color w:val="auto"/>
                <w:vertAlign w:val="superscript"/>
              </w:rPr>
              <w:t>(2)</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r>
      <w:tr>
        <w:trPr>
          <w:trHeight w:val="181"/>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Ratio of equity to assets</w:t>
            </w: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12.08</w:t>
            </w:r>
          </w:p>
        </w:tc>
        <w:tc>
          <w:tcPr>
            <w:tcW w:w="16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11.22 %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bl>
    <w:p>
      <w:pPr>
        <w:spacing w:after="0" w:line="55" w:lineRule="exact"/>
        <w:rPr>
          <w:sz w:val="20"/>
          <w:szCs w:val="20"/>
          <w:color w:val="auto"/>
        </w:rPr>
      </w:pPr>
    </w:p>
    <w:p>
      <w:pPr>
        <w:ind w:left="240" w:hanging="117"/>
        <w:spacing w:after="0"/>
        <w:tabs>
          <w:tab w:leader="none" w:pos="24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Interim periods annualized</w:t>
      </w:r>
    </w:p>
    <w:p>
      <w:pPr>
        <w:spacing w:after="0" w:line="38" w:lineRule="exact"/>
        <w:rPr>
          <w:rFonts w:ascii="Arial" w:cs="Arial" w:eastAsia="Arial" w:hAnsi="Arial"/>
          <w:sz w:val="14"/>
          <w:szCs w:val="14"/>
          <w:color w:val="auto"/>
          <w:vertAlign w:val="superscript"/>
        </w:rPr>
      </w:pPr>
    </w:p>
    <w:p>
      <w:pPr>
        <w:ind w:left="220" w:hanging="97"/>
        <w:spacing w:after="0"/>
        <w:tabs>
          <w:tab w:leader="none" w:pos="220" w:val="left"/>
        </w:tabs>
        <w:numPr>
          <w:ilvl w:val="0"/>
          <w:numId w:val="9"/>
        </w:numPr>
        <w:rPr>
          <w:rFonts w:ascii="Arial" w:cs="Arial" w:eastAsia="Arial" w:hAnsi="Arial"/>
          <w:sz w:val="11"/>
          <w:szCs w:val="11"/>
          <w:color w:val="auto"/>
          <w:vertAlign w:val="superscript"/>
        </w:rPr>
      </w:pPr>
      <w:r>
        <w:rPr>
          <w:rFonts w:ascii="Arial" w:cs="Arial" w:eastAsia="Arial" w:hAnsi="Arial"/>
          <w:sz w:val="9"/>
          <w:szCs w:val="9"/>
          <w:color w:val="auto"/>
        </w:rPr>
        <w:t>We calculate efficiency ratio as noninterest expense divided by the sum of net interest income and noninterest income.</w:t>
      </w:r>
    </w:p>
    <w:p>
      <w:pPr>
        <w:spacing w:after="0" w:line="314"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Results of Operations</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Net Interest Income</w:t>
      </w:r>
    </w:p>
    <w:p>
      <w:pPr>
        <w:spacing w:after="0" w:line="172" w:lineRule="exact"/>
        <w:rPr>
          <w:sz w:val="20"/>
          <w:szCs w:val="20"/>
          <w:color w:val="auto"/>
        </w:rPr>
      </w:pPr>
    </w:p>
    <w:p>
      <w:pPr>
        <w:jc w:val="both"/>
        <w:ind w:left="140" w:right="180" w:firstLine="384"/>
        <w:spacing w:after="0" w:line="301" w:lineRule="auto"/>
        <w:rPr>
          <w:sz w:val="20"/>
          <w:szCs w:val="20"/>
          <w:color w:val="auto"/>
        </w:rPr>
      </w:pPr>
      <w:r>
        <w:rPr>
          <w:rFonts w:ascii="Arial" w:cs="Arial" w:eastAsia="Arial" w:hAnsi="Arial"/>
          <w:sz w:val="14"/>
          <w:szCs w:val="14"/>
          <w:color w:val="auto"/>
        </w:rPr>
        <w:t>Net interest income is presented on a tax-equivalent basis below. A tax-equivalent basis makes all income taxable at the same rate. For example, $100 of tax-exempt income would be presented as $126.58, an amount that, if taxed at the statutory federal income tax rate of 21% would yield $100. We believe a tax-equivalent basis provides for improved comparability between the various earning assets.</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center"/>
              <w:ind w:right="789"/>
              <w:spacing w:after="0"/>
              <w:rPr>
                <w:sz w:val="20"/>
                <w:szCs w:val="20"/>
                <w:color w:val="auto"/>
              </w:rPr>
            </w:pPr>
            <w:r>
              <w:rPr>
                <w:rFonts w:ascii="Arial" w:cs="Arial" w:eastAsia="Arial" w:hAnsi="Arial"/>
                <w:sz w:val="14"/>
                <w:szCs w:val="14"/>
                <w:b w:val="1"/>
                <w:bCs w:val="1"/>
                <w:color w:val="auto"/>
                <w:w w:val="94"/>
              </w:rPr>
              <w:t>For the Quarter Ended</w:t>
            </w: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For the Nine Months Ended</w:t>
            </w:r>
          </w:p>
        </w:tc>
        <w:tc>
          <w:tcPr>
            <w:tcW w:w="2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September 30,</w:t>
            </w:r>
          </w:p>
        </w:tc>
        <w:tc>
          <w:tcPr>
            <w:tcW w:w="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September 30,</w:t>
            </w:r>
          </w:p>
        </w:tc>
        <w:tc>
          <w:tcPr>
            <w:tcW w:w="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7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b w:val="1"/>
                <w:bCs w:val="1"/>
                <w:color w:val="auto"/>
                <w:w w:val="89"/>
              </w:rPr>
              <w:t>2021</w:t>
            </w:r>
          </w:p>
        </w:tc>
        <w:tc>
          <w:tcPr>
            <w:tcW w:w="15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7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4"/>
                <w:szCs w:val="14"/>
                <w:color w:val="auto"/>
              </w:rPr>
              <w:t>Yield on securities - tax-equivalent</w:t>
            </w:r>
            <w:r>
              <w:rPr>
                <w:rFonts w:ascii="Arial" w:cs="Arial" w:eastAsia="Arial" w:hAnsi="Arial"/>
                <w:sz w:val="18"/>
                <w:szCs w:val="18"/>
                <w:color w:val="auto"/>
                <w:vertAlign w:val="superscript"/>
              </w:rPr>
              <w:t>(1)</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w w:val="95"/>
              </w:rPr>
              <w:t>2.87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w w:val="95"/>
              </w:rPr>
              <w:t>2.93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3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w w:val="95"/>
              </w:rPr>
              <w:t>2.89</w:t>
            </w:r>
          </w:p>
        </w:tc>
        <w:tc>
          <w:tcPr>
            <w:tcW w:w="1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9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w w:val="95"/>
              </w:rPr>
              <w:t>2.96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w w:val="87"/>
              </w:rPr>
              <w:t>2.93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w w:val="95"/>
              </w:rPr>
              <w:t>2.90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w w:val="87"/>
              </w:rPr>
              <w:t>3.08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Arial" w:cs="Arial" w:eastAsia="Arial" w:hAnsi="Arial"/>
                <w:sz w:val="14"/>
                <w:szCs w:val="14"/>
                <w:color w:val="auto"/>
              </w:rPr>
              <w:t>Yield on loans</w:t>
            </w:r>
          </w:p>
        </w:tc>
        <w:tc>
          <w:tcPr>
            <w:tcW w:w="880" w:type="dxa"/>
            <w:vAlign w:val="bottom"/>
          </w:tcPr>
          <w:p>
            <w:pPr>
              <w:ind w:left="600"/>
              <w:spacing w:after="0"/>
              <w:rPr>
                <w:sz w:val="20"/>
                <w:szCs w:val="20"/>
                <w:color w:val="auto"/>
              </w:rPr>
            </w:pPr>
            <w:r>
              <w:rPr>
                <w:rFonts w:ascii="Arial" w:cs="Arial" w:eastAsia="Arial" w:hAnsi="Arial"/>
                <w:sz w:val="14"/>
                <w:szCs w:val="14"/>
                <w:color w:val="auto"/>
                <w:w w:val="95"/>
              </w:rPr>
              <w:t>4.00</w:t>
            </w:r>
          </w:p>
        </w:tc>
        <w:tc>
          <w:tcPr>
            <w:tcW w:w="16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w w:val="95"/>
              </w:rPr>
              <w:t>3.99</w:t>
            </w:r>
          </w:p>
        </w:tc>
        <w:tc>
          <w:tcPr>
            <w:tcW w:w="160" w:type="dxa"/>
            <w:vAlign w:val="bottom"/>
          </w:tcPr>
          <w:p>
            <w:pPr>
              <w:spacing w:after="0"/>
              <w:rPr>
                <w:sz w:val="15"/>
                <w:szCs w:val="15"/>
                <w:color w:val="auto"/>
              </w:rPr>
            </w:pPr>
          </w:p>
        </w:tc>
        <w:tc>
          <w:tcPr>
            <w:tcW w:w="930" w:type="dxa"/>
            <w:vAlign w:val="bottom"/>
            <w:gridSpan w:val="2"/>
          </w:tcPr>
          <w:p>
            <w:pPr>
              <w:ind w:left="660"/>
              <w:spacing w:after="0"/>
              <w:rPr>
                <w:sz w:val="20"/>
                <w:szCs w:val="20"/>
                <w:color w:val="auto"/>
              </w:rPr>
            </w:pPr>
            <w:r>
              <w:rPr>
                <w:rFonts w:ascii="Arial" w:cs="Arial" w:eastAsia="Arial" w:hAnsi="Arial"/>
                <w:sz w:val="14"/>
                <w:szCs w:val="14"/>
                <w:color w:val="auto"/>
                <w:w w:val="95"/>
              </w:rPr>
              <w:t>3.94</w:t>
            </w:r>
          </w:p>
        </w:tc>
        <w:tc>
          <w:tcPr>
            <w:tcW w:w="15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w w:val="95"/>
              </w:rPr>
              <w:t>4.00</w:t>
            </w:r>
          </w:p>
        </w:tc>
        <w:tc>
          <w:tcPr>
            <w:tcW w:w="16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w w:val="87"/>
              </w:rPr>
              <w:t>3.90</w:t>
            </w:r>
          </w:p>
        </w:tc>
        <w:tc>
          <w:tcPr>
            <w:tcW w:w="18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w w:val="95"/>
              </w:rPr>
              <w:t>3.98</w:t>
            </w:r>
          </w:p>
        </w:tc>
        <w:tc>
          <w:tcPr>
            <w:tcW w:w="16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w w:val="87"/>
              </w:rPr>
              <w:t>4.36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278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4"/>
                <w:szCs w:val="14"/>
                <w:color w:val="auto"/>
              </w:rPr>
              <w:t>Yield on earning assets - tax-equivalent</w:t>
            </w:r>
            <w:r>
              <w:rPr>
                <w:rFonts w:ascii="Arial" w:cs="Arial" w:eastAsia="Arial" w:hAnsi="Arial"/>
                <w:sz w:val="18"/>
                <w:szCs w:val="18"/>
                <w:color w:val="auto"/>
                <w:vertAlign w:val="superscript"/>
              </w:rPr>
              <w:t>(1)</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w w:val="95"/>
              </w:rPr>
              <w:t>3.62</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w w:val="95"/>
              </w:rPr>
              <w:t>3.57</w:t>
            </w:r>
          </w:p>
        </w:tc>
        <w:tc>
          <w:tcPr>
            <w:tcW w:w="160" w:type="dxa"/>
            <w:vAlign w:val="bottom"/>
            <w:tcBorders>
              <w:bottom w:val="single" w:sz="8" w:color="CCEEFF"/>
            </w:tcBorders>
            <w:shd w:val="clear" w:color="auto" w:fill="CCEEFF"/>
          </w:tcPr>
          <w:p>
            <w:pPr>
              <w:spacing w:after="0"/>
              <w:rPr>
                <w:sz w:val="17"/>
                <w:szCs w:val="17"/>
                <w:color w:val="auto"/>
              </w:rPr>
            </w:pPr>
          </w:p>
        </w:tc>
        <w:tc>
          <w:tcPr>
            <w:tcW w:w="93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w w:val="95"/>
              </w:rPr>
              <w:t>3.50</w:t>
            </w:r>
          </w:p>
        </w:tc>
        <w:tc>
          <w:tcPr>
            <w:tcW w:w="15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w w:val="95"/>
              </w:rPr>
              <w:t>3.71</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w w:val="87"/>
              </w:rPr>
              <w:t>3.66</w:t>
            </w: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w w:val="95"/>
              </w:rPr>
              <w:t>3.56</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w w:val="87"/>
              </w:rPr>
              <w:t>4.05</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Arial" w:cs="Arial" w:eastAsia="Arial" w:hAnsi="Arial"/>
                <w:sz w:val="14"/>
                <w:szCs w:val="14"/>
                <w:color w:val="auto"/>
              </w:rPr>
              <w:t>Cost of interest-bearing deposits</w:t>
            </w:r>
          </w:p>
        </w:tc>
        <w:tc>
          <w:tcPr>
            <w:tcW w:w="880" w:type="dxa"/>
            <w:vAlign w:val="bottom"/>
          </w:tcPr>
          <w:p>
            <w:pPr>
              <w:ind w:left="600"/>
              <w:spacing w:after="0"/>
              <w:rPr>
                <w:sz w:val="20"/>
                <w:szCs w:val="20"/>
                <w:color w:val="auto"/>
              </w:rPr>
            </w:pPr>
            <w:r>
              <w:rPr>
                <w:rFonts w:ascii="Arial" w:cs="Arial" w:eastAsia="Arial" w:hAnsi="Arial"/>
                <w:sz w:val="14"/>
                <w:szCs w:val="14"/>
                <w:color w:val="auto"/>
                <w:w w:val="95"/>
              </w:rPr>
              <w:t>0.47</w:t>
            </w:r>
          </w:p>
        </w:tc>
        <w:tc>
          <w:tcPr>
            <w:tcW w:w="16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w w:val="95"/>
              </w:rPr>
              <w:t>0.50</w:t>
            </w:r>
          </w:p>
        </w:tc>
        <w:tc>
          <w:tcPr>
            <w:tcW w:w="160" w:type="dxa"/>
            <w:vAlign w:val="bottom"/>
          </w:tcPr>
          <w:p>
            <w:pPr>
              <w:spacing w:after="0"/>
              <w:rPr>
                <w:sz w:val="15"/>
                <w:szCs w:val="15"/>
                <w:color w:val="auto"/>
              </w:rPr>
            </w:pPr>
          </w:p>
        </w:tc>
        <w:tc>
          <w:tcPr>
            <w:tcW w:w="930" w:type="dxa"/>
            <w:vAlign w:val="bottom"/>
            <w:gridSpan w:val="2"/>
          </w:tcPr>
          <w:p>
            <w:pPr>
              <w:ind w:left="660"/>
              <w:spacing w:after="0"/>
              <w:rPr>
                <w:sz w:val="20"/>
                <w:szCs w:val="20"/>
                <w:color w:val="auto"/>
              </w:rPr>
            </w:pPr>
            <w:r>
              <w:rPr>
                <w:rFonts w:ascii="Arial" w:cs="Arial" w:eastAsia="Arial" w:hAnsi="Arial"/>
                <w:sz w:val="14"/>
                <w:szCs w:val="14"/>
                <w:color w:val="auto"/>
                <w:w w:val="95"/>
              </w:rPr>
              <w:t>0.57</w:t>
            </w:r>
          </w:p>
        </w:tc>
        <w:tc>
          <w:tcPr>
            <w:tcW w:w="15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w w:val="95"/>
              </w:rPr>
              <w:t>0.69</w:t>
            </w:r>
          </w:p>
        </w:tc>
        <w:tc>
          <w:tcPr>
            <w:tcW w:w="16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w w:val="87"/>
              </w:rPr>
              <w:t>0.80</w:t>
            </w:r>
          </w:p>
        </w:tc>
        <w:tc>
          <w:tcPr>
            <w:tcW w:w="18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w w:val="95"/>
              </w:rPr>
              <w:t>0.51</w:t>
            </w:r>
          </w:p>
        </w:tc>
        <w:tc>
          <w:tcPr>
            <w:tcW w:w="16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w w:val="87"/>
              </w:rPr>
              <w:t>1.14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Cost of total deposits</w:t>
            </w:r>
          </w:p>
        </w:tc>
        <w:tc>
          <w:tcPr>
            <w:tcW w:w="88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5"/>
              </w:rPr>
              <w:t>0.38</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w w:val="95"/>
              </w:rPr>
              <w:t>0.41</w:t>
            </w:r>
          </w:p>
        </w:tc>
        <w:tc>
          <w:tcPr>
            <w:tcW w:w="160" w:type="dxa"/>
            <w:vAlign w:val="bottom"/>
            <w:shd w:val="clear" w:color="auto" w:fill="CCEEFF"/>
          </w:tcPr>
          <w:p>
            <w:pPr>
              <w:spacing w:after="0"/>
              <w:rPr>
                <w:sz w:val="15"/>
                <w:szCs w:val="15"/>
                <w:color w:val="auto"/>
              </w:rPr>
            </w:pPr>
          </w:p>
        </w:tc>
        <w:tc>
          <w:tcPr>
            <w:tcW w:w="93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w w:val="95"/>
              </w:rPr>
              <w:t>0.48</w:t>
            </w:r>
          </w:p>
        </w:tc>
        <w:tc>
          <w:tcPr>
            <w:tcW w:w="15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w w:val="95"/>
              </w:rPr>
              <w:t>0.58</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w w:val="87"/>
              </w:rPr>
              <w:t>0.67</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5"/>
              </w:rPr>
              <w:t>0.42</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w w:val="87"/>
              </w:rPr>
              <w:t>0.96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Arial" w:cs="Arial" w:eastAsia="Arial" w:hAnsi="Arial"/>
                <w:sz w:val="14"/>
                <w:szCs w:val="14"/>
                <w:color w:val="auto"/>
              </w:rPr>
              <w:t>Cost of FHLB and short-term borrowings</w:t>
            </w:r>
          </w:p>
        </w:tc>
        <w:tc>
          <w:tcPr>
            <w:tcW w:w="880" w:type="dxa"/>
            <w:vAlign w:val="bottom"/>
          </w:tcPr>
          <w:p>
            <w:pPr>
              <w:ind w:left="600"/>
              <w:spacing w:after="0"/>
              <w:rPr>
                <w:sz w:val="20"/>
                <w:szCs w:val="20"/>
                <w:color w:val="auto"/>
              </w:rPr>
            </w:pPr>
            <w:r>
              <w:rPr>
                <w:rFonts w:ascii="Arial" w:cs="Arial" w:eastAsia="Arial" w:hAnsi="Arial"/>
                <w:sz w:val="14"/>
                <w:szCs w:val="14"/>
                <w:color w:val="auto"/>
                <w:w w:val="95"/>
              </w:rPr>
              <w:t>1.82</w:t>
            </w:r>
          </w:p>
        </w:tc>
        <w:tc>
          <w:tcPr>
            <w:tcW w:w="16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w w:val="95"/>
              </w:rPr>
              <w:t>1.79</w:t>
            </w:r>
          </w:p>
        </w:tc>
        <w:tc>
          <w:tcPr>
            <w:tcW w:w="160" w:type="dxa"/>
            <w:vAlign w:val="bottom"/>
          </w:tcPr>
          <w:p>
            <w:pPr>
              <w:spacing w:after="0"/>
              <w:rPr>
                <w:sz w:val="15"/>
                <w:szCs w:val="15"/>
                <w:color w:val="auto"/>
              </w:rPr>
            </w:pPr>
          </w:p>
        </w:tc>
        <w:tc>
          <w:tcPr>
            <w:tcW w:w="930" w:type="dxa"/>
            <w:vAlign w:val="bottom"/>
            <w:gridSpan w:val="2"/>
          </w:tcPr>
          <w:p>
            <w:pPr>
              <w:ind w:left="660"/>
              <w:spacing w:after="0"/>
              <w:rPr>
                <w:sz w:val="20"/>
                <w:szCs w:val="20"/>
                <w:color w:val="auto"/>
              </w:rPr>
            </w:pPr>
            <w:r>
              <w:rPr>
                <w:rFonts w:ascii="Arial" w:cs="Arial" w:eastAsia="Arial" w:hAnsi="Arial"/>
                <w:sz w:val="14"/>
                <w:szCs w:val="14"/>
                <w:color w:val="auto"/>
                <w:w w:val="95"/>
              </w:rPr>
              <w:t>1.79</w:t>
            </w:r>
          </w:p>
        </w:tc>
        <w:tc>
          <w:tcPr>
            <w:tcW w:w="15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w w:val="95"/>
              </w:rPr>
              <w:t>1.78</w:t>
            </w:r>
          </w:p>
        </w:tc>
        <w:tc>
          <w:tcPr>
            <w:tcW w:w="16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w w:val="87"/>
              </w:rPr>
              <w:t>1.50</w:t>
            </w:r>
          </w:p>
        </w:tc>
        <w:tc>
          <w:tcPr>
            <w:tcW w:w="18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w w:val="95"/>
              </w:rPr>
              <w:t>1.80</w:t>
            </w:r>
          </w:p>
        </w:tc>
        <w:tc>
          <w:tcPr>
            <w:tcW w:w="16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w w:val="87"/>
              </w:rPr>
              <w:t>1.51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Cost of funds</w:t>
            </w:r>
          </w:p>
        </w:tc>
        <w:tc>
          <w:tcPr>
            <w:tcW w:w="88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5"/>
              </w:rPr>
              <w:t>0.46</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w w:val="95"/>
              </w:rPr>
              <w:t>0.49</w:t>
            </w:r>
          </w:p>
        </w:tc>
        <w:tc>
          <w:tcPr>
            <w:tcW w:w="160" w:type="dxa"/>
            <w:vAlign w:val="bottom"/>
            <w:shd w:val="clear" w:color="auto" w:fill="CCEEFF"/>
          </w:tcPr>
          <w:p>
            <w:pPr>
              <w:spacing w:after="0"/>
              <w:rPr>
                <w:sz w:val="15"/>
                <w:szCs w:val="15"/>
                <w:color w:val="auto"/>
              </w:rPr>
            </w:pPr>
          </w:p>
        </w:tc>
        <w:tc>
          <w:tcPr>
            <w:tcW w:w="93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w w:val="95"/>
              </w:rPr>
              <w:t>0.56</w:t>
            </w:r>
          </w:p>
        </w:tc>
        <w:tc>
          <w:tcPr>
            <w:tcW w:w="15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w w:val="95"/>
              </w:rPr>
              <w:t>0.65</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w w:val="87"/>
              </w:rPr>
              <w:t>0.75</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5"/>
              </w:rPr>
              <w:t>0.50</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w w:val="87"/>
              </w:rPr>
              <w:t>1.01</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9"/>
        </w:trPr>
        <w:tc>
          <w:tcPr>
            <w:tcW w:w="2800" w:type="dxa"/>
            <w:vAlign w:val="bottom"/>
            <w:gridSpan w:val="2"/>
          </w:tcPr>
          <w:p>
            <w:pPr>
              <w:spacing w:after="0"/>
              <w:rPr>
                <w:sz w:val="20"/>
                <w:szCs w:val="20"/>
                <w:color w:val="auto"/>
              </w:rPr>
            </w:pPr>
            <w:r>
              <w:rPr>
                <w:rFonts w:ascii="Arial" w:cs="Arial" w:eastAsia="Arial" w:hAnsi="Arial"/>
                <w:sz w:val="14"/>
                <w:szCs w:val="14"/>
                <w:color w:val="auto"/>
              </w:rPr>
              <w:t>Net interest margin - tax-equivalent</w:t>
            </w:r>
            <w:r>
              <w:rPr>
                <w:rFonts w:ascii="Arial" w:cs="Arial" w:eastAsia="Arial" w:hAnsi="Arial"/>
                <w:sz w:val="18"/>
                <w:szCs w:val="18"/>
                <w:color w:val="auto"/>
                <w:vertAlign w:val="superscript"/>
              </w:rPr>
              <w:t>(1)</w:t>
            </w:r>
          </w:p>
        </w:tc>
        <w:tc>
          <w:tcPr>
            <w:tcW w:w="1040" w:type="dxa"/>
            <w:vAlign w:val="bottom"/>
            <w:gridSpan w:val="2"/>
          </w:tcPr>
          <w:p>
            <w:pPr>
              <w:ind w:left="600"/>
              <w:spacing w:after="0"/>
              <w:rPr>
                <w:sz w:val="20"/>
                <w:szCs w:val="20"/>
                <w:color w:val="auto"/>
              </w:rPr>
            </w:pPr>
            <w:r>
              <w:rPr>
                <w:rFonts w:ascii="Arial" w:cs="Arial" w:eastAsia="Arial" w:hAnsi="Arial"/>
                <w:sz w:val="14"/>
                <w:szCs w:val="14"/>
                <w:color w:val="auto"/>
                <w:w w:val="96"/>
              </w:rPr>
              <w:t>3.20 %</w:t>
            </w:r>
          </w:p>
        </w:tc>
        <w:tc>
          <w:tcPr>
            <w:tcW w:w="1080" w:type="dxa"/>
            <w:vAlign w:val="bottom"/>
            <w:gridSpan w:val="3"/>
          </w:tcPr>
          <w:p>
            <w:pPr>
              <w:ind w:left="640"/>
              <w:spacing w:after="0"/>
              <w:rPr>
                <w:sz w:val="20"/>
                <w:szCs w:val="20"/>
                <w:color w:val="auto"/>
              </w:rPr>
            </w:pPr>
            <w:r>
              <w:rPr>
                <w:rFonts w:ascii="Arial" w:cs="Arial" w:eastAsia="Arial" w:hAnsi="Arial"/>
                <w:sz w:val="14"/>
                <w:szCs w:val="14"/>
                <w:color w:val="auto"/>
                <w:w w:val="96"/>
              </w:rPr>
              <w:t>3.12 %</w:t>
            </w:r>
          </w:p>
        </w:tc>
        <w:tc>
          <w:tcPr>
            <w:tcW w:w="1080" w:type="dxa"/>
            <w:vAlign w:val="bottom"/>
            <w:gridSpan w:val="3"/>
          </w:tcPr>
          <w:p>
            <w:pPr>
              <w:ind w:left="660"/>
              <w:spacing w:after="0"/>
              <w:rPr>
                <w:sz w:val="20"/>
                <w:szCs w:val="20"/>
                <w:color w:val="auto"/>
              </w:rPr>
            </w:pPr>
            <w:r>
              <w:rPr>
                <w:rFonts w:ascii="Arial" w:cs="Arial" w:eastAsia="Arial" w:hAnsi="Arial"/>
                <w:sz w:val="14"/>
                <w:szCs w:val="14"/>
                <w:color w:val="auto"/>
                <w:w w:val="91"/>
              </w:rPr>
              <w:t>3.00 %</w:t>
            </w:r>
          </w:p>
        </w:tc>
        <w:tc>
          <w:tcPr>
            <w:tcW w:w="1100" w:type="dxa"/>
            <w:vAlign w:val="bottom"/>
            <w:gridSpan w:val="3"/>
          </w:tcPr>
          <w:p>
            <w:pPr>
              <w:ind w:left="660"/>
              <w:spacing w:after="0"/>
              <w:rPr>
                <w:sz w:val="20"/>
                <w:szCs w:val="20"/>
                <w:color w:val="auto"/>
              </w:rPr>
            </w:pPr>
            <w:r>
              <w:rPr>
                <w:rFonts w:ascii="Arial" w:cs="Arial" w:eastAsia="Arial" w:hAnsi="Arial"/>
                <w:sz w:val="14"/>
                <w:szCs w:val="14"/>
                <w:color w:val="auto"/>
                <w:w w:val="96"/>
              </w:rPr>
              <w:t>3.12 %</w:t>
            </w:r>
          </w:p>
        </w:tc>
        <w:tc>
          <w:tcPr>
            <w:tcW w:w="1080" w:type="dxa"/>
            <w:vAlign w:val="bottom"/>
            <w:gridSpan w:val="3"/>
          </w:tcPr>
          <w:p>
            <w:pPr>
              <w:ind w:left="640"/>
              <w:spacing w:after="0"/>
              <w:rPr>
                <w:sz w:val="20"/>
                <w:szCs w:val="20"/>
                <w:color w:val="auto"/>
              </w:rPr>
            </w:pPr>
            <w:r>
              <w:rPr>
                <w:rFonts w:ascii="Arial" w:cs="Arial" w:eastAsia="Arial" w:hAnsi="Arial"/>
                <w:sz w:val="14"/>
                <w:szCs w:val="14"/>
                <w:color w:val="auto"/>
                <w:w w:val="96"/>
              </w:rPr>
              <w:t>2.98 %</w:t>
            </w:r>
          </w:p>
        </w:tc>
        <w:tc>
          <w:tcPr>
            <w:tcW w:w="1100" w:type="dxa"/>
            <w:vAlign w:val="bottom"/>
            <w:gridSpan w:val="3"/>
          </w:tcPr>
          <w:p>
            <w:pPr>
              <w:ind w:left="660"/>
              <w:spacing w:after="0"/>
              <w:rPr>
                <w:sz w:val="20"/>
                <w:szCs w:val="20"/>
                <w:color w:val="auto"/>
              </w:rPr>
            </w:pPr>
            <w:r>
              <w:rPr>
                <w:rFonts w:ascii="Arial" w:cs="Arial" w:eastAsia="Arial" w:hAnsi="Arial"/>
                <w:sz w:val="14"/>
                <w:szCs w:val="14"/>
                <w:color w:val="auto"/>
                <w:w w:val="96"/>
              </w:rPr>
              <w:t>3.10 %</w:t>
            </w:r>
          </w:p>
        </w:tc>
        <w:tc>
          <w:tcPr>
            <w:tcW w:w="1080" w:type="dxa"/>
            <w:vAlign w:val="bottom"/>
            <w:gridSpan w:val="3"/>
          </w:tcPr>
          <w:p>
            <w:pPr>
              <w:ind w:left="640"/>
              <w:spacing w:after="0"/>
              <w:rPr>
                <w:sz w:val="20"/>
                <w:szCs w:val="20"/>
                <w:color w:val="auto"/>
              </w:rPr>
            </w:pPr>
            <w:r>
              <w:rPr>
                <w:rFonts w:ascii="Arial" w:cs="Arial" w:eastAsia="Arial" w:hAnsi="Arial"/>
                <w:sz w:val="14"/>
                <w:szCs w:val="14"/>
                <w:color w:val="auto"/>
                <w:w w:val="96"/>
              </w:rPr>
              <w:t>3.13 %</w:t>
            </w:r>
          </w:p>
        </w:tc>
        <w:tc>
          <w:tcPr>
            <w:tcW w:w="20" w:type="dxa"/>
            <w:vAlign w:val="bottom"/>
          </w:tcPr>
          <w:p>
            <w:pPr>
              <w:spacing w:after="0"/>
              <w:rPr>
                <w:sz w:val="19"/>
                <w:szCs w:val="19"/>
                <w:color w:val="auto"/>
              </w:rPr>
            </w:pPr>
          </w:p>
        </w:tc>
      </w:tr>
    </w:tbl>
    <w:p>
      <w:pPr>
        <w:ind w:left="220" w:hanging="97"/>
        <w:spacing w:after="0"/>
        <w:tabs>
          <w:tab w:leader="none" w:pos="220" w:val="left"/>
        </w:tabs>
        <w:numPr>
          <w:ilvl w:val="0"/>
          <w:numId w:val="10"/>
        </w:numPr>
        <w:rPr>
          <w:rFonts w:ascii="Arial" w:cs="Arial" w:eastAsia="Arial" w:hAnsi="Arial"/>
          <w:sz w:val="7"/>
          <w:szCs w:val="7"/>
          <w:color w:val="auto"/>
        </w:rPr>
      </w:pPr>
      <w:r>
        <w:rPr>
          <w:rFonts w:ascii="Arial" w:cs="Arial" w:eastAsia="Arial" w:hAnsi="Arial"/>
          <w:sz w:val="11"/>
          <w:szCs w:val="11"/>
          <w:color w:val="auto"/>
        </w:rPr>
        <w:t>Tax-exempt income is calculated on a tax-equivalent basis. Tax-free municipal securities are exempt from Federal income taxes. The incremental tax rate used is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0500"/>
          </w:cols>
          <w:pgMar w:left="780" w:top="406" w:right="619" w:bottom="1440" w:gutter="0" w:footer="0" w:header="0"/>
        </w:sectPr>
      </w:pPr>
    </w:p>
    <w:bookmarkStart w:id="41" w:name="page42"/>
    <w:bookmarkEnd w:id="41"/>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tables present, for the periods indicated, average balance sheet information, interest income, interest expense and the corresponding average yield and rates</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paid:</w:t>
      </w:r>
    </w:p>
    <w:p>
      <w:pPr>
        <w:spacing w:after="0" w:line="59"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For the Quarter Ended</w:t>
      </w:r>
    </w:p>
    <w:p>
      <w:pPr>
        <w:spacing w:after="0" w:line="63" w:lineRule="exact"/>
        <w:rPr>
          <w:sz w:val="20"/>
          <w:szCs w:val="20"/>
          <w:color w:val="auto"/>
        </w:rPr>
      </w:pPr>
    </w:p>
    <w:tbl>
      <w:tblPr>
        <w:tblLayout w:type="fixed"/>
        <w:tblInd w:w="3480" w:type="dxa"/>
        <w:tblCellMar>
          <w:top w:w="0" w:type="dxa"/>
          <w:left w:w="0" w:type="dxa"/>
          <w:bottom w:w="0" w:type="dxa"/>
          <w:right w:w="0" w:type="dxa"/>
        </w:tblCellMar>
      </w:tblPr>
      <w:tr>
        <w:trPr>
          <w:trHeight w:val="191"/>
        </w:trPr>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September 30, 2021</w:t>
            </w: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9"/>
              </w:rPr>
              <w:t>2020</w:t>
            </w:r>
          </w:p>
        </w:tc>
        <w:tc>
          <w:tcPr>
            <w:tcW w:w="1080" w:type="dxa"/>
            <w:vAlign w:val="bottom"/>
            <w:tcBorders>
              <w:bottom w:val="single" w:sz="8" w:color="auto"/>
            </w:tcBorders>
          </w:tcPr>
          <w:p>
            <w:pPr>
              <w:spacing w:after="0"/>
              <w:rPr>
                <w:sz w:val="16"/>
                <w:szCs w:val="16"/>
                <w:color w:val="auto"/>
              </w:rPr>
            </w:pPr>
          </w:p>
        </w:tc>
      </w:tr>
      <w:tr>
        <w:trPr>
          <w:trHeight w:val="235"/>
        </w:trPr>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Interest Income /</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Yield /</w:t>
            </w: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Interest Income /</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Yield /</w:t>
            </w:r>
          </w:p>
        </w:tc>
      </w:tr>
      <w:tr>
        <w:trPr>
          <w:trHeight w:val="167"/>
        </w:trPr>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0"/>
              </w:rPr>
              <w:t>Average Balance</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4"/>
                <w:szCs w:val="14"/>
                <w:b w:val="1"/>
                <w:bCs w:val="1"/>
                <w:color w:val="auto"/>
                <w:w w:val="88"/>
              </w:rPr>
              <w:t>Rate</w:t>
            </w:r>
            <w:r>
              <w:rPr>
                <w:rFonts w:ascii="Arial" w:cs="Arial" w:eastAsia="Arial" w:hAnsi="Arial"/>
                <w:sz w:val="18"/>
                <w:szCs w:val="18"/>
                <w:b w:val="1"/>
                <w:bCs w:val="1"/>
                <w:color w:val="auto"/>
                <w:w w:val="88"/>
                <w:vertAlign w:val="superscript"/>
              </w:rPr>
              <w:t>(4)</w:t>
            </w:r>
          </w:p>
        </w:tc>
        <w:tc>
          <w:tcPr>
            <w:tcW w:w="60" w:type="dxa"/>
            <w:vAlign w:val="bottom"/>
          </w:tcPr>
          <w:p>
            <w:pPr>
              <w:spacing w:after="0"/>
              <w:rPr>
                <w:sz w:val="14"/>
                <w:szCs w:val="14"/>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3"/>
              </w:rPr>
              <w:t>Average Balance</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Expense</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4"/>
                <w:szCs w:val="14"/>
                <w:b w:val="1"/>
                <w:bCs w:val="1"/>
                <w:color w:val="auto"/>
                <w:w w:val="88"/>
              </w:rPr>
              <w:t>Rate</w:t>
            </w:r>
            <w:r>
              <w:rPr>
                <w:rFonts w:ascii="Arial" w:cs="Arial" w:eastAsia="Arial" w:hAnsi="Arial"/>
                <w:sz w:val="18"/>
                <w:szCs w:val="18"/>
                <w:b w:val="1"/>
                <w:bCs w:val="1"/>
                <w:color w:val="auto"/>
                <w:w w:val="88"/>
                <w:vertAlign w:val="superscript"/>
              </w:rPr>
              <w:t>(4)</w:t>
            </w:r>
          </w:p>
        </w:tc>
      </w:tr>
    </w:tbl>
    <w:p>
      <w:pPr>
        <w:spacing w:after="0" w:line="25" w:lineRule="exact"/>
        <w:rPr>
          <w:sz w:val="20"/>
          <w:szCs w:val="20"/>
          <w:color w:val="auto"/>
        </w:rPr>
      </w:pPr>
    </w:p>
    <w:p>
      <w:pPr>
        <w:ind w:left="6400"/>
        <w:spacing w:after="0"/>
        <w:rPr>
          <w:sz w:val="20"/>
          <w:szCs w:val="20"/>
          <w:color w:val="auto"/>
        </w:rPr>
      </w:pPr>
      <w:r>
        <w:rPr>
          <w:rFonts w:ascii="Arial" w:cs="Arial" w:eastAsia="Arial" w:hAnsi="Arial"/>
          <w:sz w:val="13"/>
          <w:szCs w:val="13"/>
          <w:i w:val="1"/>
          <w:iCs w:val="1"/>
          <w:color w:val="auto"/>
        </w:rPr>
        <w:t>(Dollars in thousands)</w:t>
      </w:r>
    </w:p>
    <w:p>
      <w:pPr>
        <w:sectPr>
          <w:pgSz w:w="11900" w:h="16838" w:orient="portrait"/>
          <w:cols w:equalWidth="0" w:num="1">
            <w:col w:w="10500"/>
          </w:cols>
          <w:pgMar w:left="780" w:top="406" w:right="619" w:bottom="1440" w:gutter="0" w:footer="0" w:header="0"/>
        </w:sectPr>
      </w:pP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Interest-earning assets: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20" w:type="dxa"/>
            <w:vAlign w:val="bottom"/>
            <w:gridSpan w:val="2"/>
          </w:tcPr>
          <w:p>
            <w:pPr>
              <w:ind w:left="200"/>
              <w:spacing w:after="0"/>
              <w:rPr>
                <w:sz w:val="20"/>
                <w:szCs w:val="20"/>
                <w:color w:val="auto"/>
              </w:rPr>
            </w:pPr>
            <w:r>
              <w:rPr>
                <w:rFonts w:ascii="Arial" w:cs="Arial" w:eastAsia="Arial" w:hAnsi="Arial"/>
                <w:sz w:val="14"/>
                <w:szCs w:val="14"/>
                <w:color w:val="auto"/>
              </w:rPr>
              <w:t>Securities - taxable</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272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Securities - tax-exempt</w:t>
            </w:r>
            <w:r>
              <w:rPr>
                <w:rFonts w:ascii="Arial" w:cs="Arial" w:eastAsia="Arial" w:hAnsi="Arial"/>
                <w:sz w:val="18"/>
                <w:szCs w:val="18"/>
                <w:color w:val="auto"/>
                <w:vertAlign w:val="superscript"/>
              </w:rPr>
              <w:t>(1)</w:t>
            </w:r>
          </w:p>
        </w:tc>
        <w:tc>
          <w:tcPr>
            <w:tcW w:w="4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20" w:type="dxa"/>
            <w:vAlign w:val="bottom"/>
            <w:gridSpan w:val="2"/>
          </w:tcPr>
          <w:p>
            <w:pPr>
              <w:ind w:left="200"/>
              <w:spacing w:after="0"/>
              <w:rPr>
                <w:sz w:val="20"/>
                <w:szCs w:val="20"/>
                <w:color w:val="auto"/>
              </w:rPr>
            </w:pPr>
            <w:r>
              <w:rPr>
                <w:rFonts w:ascii="Arial" w:cs="Arial" w:eastAsia="Arial" w:hAnsi="Arial"/>
                <w:sz w:val="14"/>
                <w:szCs w:val="14"/>
                <w:color w:val="auto"/>
              </w:rPr>
              <w:t>Interest-bearing deposits in other banks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0" w:type="dxa"/>
            <w:vAlign w:val="bottom"/>
            <w:vMerge w:val="restart"/>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0" w:type="dxa"/>
            <w:vAlign w:val="bottom"/>
            <w:vMerge w:val="continue"/>
          </w:tcPr>
          <w:p>
            <w:pPr>
              <w:spacing w:after="0"/>
              <w:rPr>
                <w:sz w:val="14"/>
                <w:szCs w:val="14"/>
                <w:color w:val="auto"/>
              </w:rPr>
            </w:pPr>
          </w:p>
        </w:tc>
        <w:tc>
          <w:tcPr>
            <w:tcW w:w="2720" w:type="dxa"/>
            <w:vAlign w:val="bottom"/>
            <w:shd w:val="clear" w:color="auto" w:fill="CCEEFF"/>
          </w:tcPr>
          <w:p>
            <w:pPr>
              <w:spacing w:after="0" w:line="170" w:lineRule="exact"/>
              <w:rPr>
                <w:sz w:val="20"/>
                <w:szCs w:val="20"/>
                <w:color w:val="auto"/>
              </w:rPr>
            </w:pPr>
            <w:r>
              <w:rPr>
                <w:rFonts w:ascii="Arial" w:cs="Arial" w:eastAsia="Arial" w:hAnsi="Arial"/>
                <w:sz w:val="14"/>
                <w:szCs w:val="14"/>
                <w:color w:val="auto"/>
              </w:rPr>
              <w:t>Gross loans, net of unearned income</w:t>
            </w:r>
            <w:r>
              <w:rPr>
                <w:rFonts w:ascii="Arial" w:cs="Arial" w:eastAsia="Arial" w:hAnsi="Arial"/>
                <w:sz w:val="18"/>
                <w:szCs w:val="18"/>
                <w:color w:val="auto"/>
                <w:vertAlign w:val="superscript"/>
              </w:rPr>
              <w:t>(2)(3)</w:t>
            </w:r>
          </w:p>
        </w:tc>
        <w:tc>
          <w:tcPr>
            <w:tcW w:w="44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920" w:type="dxa"/>
            <w:vAlign w:val="bottom"/>
            <w:gridSpan w:val="2"/>
          </w:tcPr>
          <w:p>
            <w:pPr>
              <w:ind w:left="200"/>
              <w:spacing w:after="0"/>
              <w:rPr>
                <w:sz w:val="20"/>
                <w:szCs w:val="20"/>
                <w:color w:val="auto"/>
              </w:rPr>
            </w:pPr>
            <w:r>
              <w:rPr>
                <w:rFonts w:ascii="Arial" w:cs="Arial" w:eastAsia="Arial" w:hAnsi="Arial"/>
                <w:sz w:val="14"/>
                <w:szCs w:val="14"/>
                <w:color w:val="auto"/>
              </w:rPr>
              <w:t>Total interest-earning assets</w:t>
            </w:r>
            <w:r>
              <w:rPr>
                <w:rFonts w:ascii="Arial" w:cs="Arial" w:eastAsia="Arial" w:hAnsi="Arial"/>
                <w:sz w:val="18"/>
                <w:szCs w:val="18"/>
                <w:color w:val="auto"/>
                <w:vertAlign w:val="superscript"/>
              </w:rPr>
              <w:t>(1)</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Allowance for loan losses</w:t>
            </w:r>
          </w:p>
        </w:tc>
        <w:tc>
          <w:tcPr>
            <w:tcW w:w="4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non-interest-earning assets</w:t>
            </w:r>
          </w:p>
        </w:tc>
        <w:tc>
          <w:tcPr>
            <w:tcW w:w="440" w:type="dxa"/>
            <w:vAlign w:val="bottom"/>
            <w:tcBorders>
              <w:bottom w:val="single" w:sz="8" w:color="CCEEFF"/>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2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Interest-bearing liabilities</w:t>
      </w:r>
    </w:p>
    <w:p>
      <w:pPr>
        <w:spacing w:after="0" w:line="24" w:lineRule="exact"/>
        <w:rPr>
          <w:sz w:val="20"/>
          <w:szCs w:val="20"/>
          <w:color w:val="auto"/>
        </w:rPr>
      </w:pPr>
    </w:p>
    <w:p>
      <w:pPr>
        <w:ind w:left="320"/>
        <w:spacing w:after="0" w:line="270" w:lineRule="auto"/>
        <w:rPr>
          <w:sz w:val="20"/>
          <w:szCs w:val="20"/>
          <w:color w:val="auto"/>
        </w:rPr>
      </w:pPr>
      <w:r>
        <w:rPr>
          <w:rFonts w:ascii="Arial" w:cs="Arial" w:eastAsia="Arial" w:hAnsi="Arial"/>
          <w:sz w:val="14"/>
          <w:szCs w:val="14"/>
          <w:color w:val="auto"/>
        </w:rPr>
        <w:t>Transaction deposits $ Savings and money market deposits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Time deposits</w:t>
      </w:r>
    </w:p>
    <w:p>
      <w:pPr>
        <w:spacing w:after="0" w:line="31" w:lineRule="exact"/>
        <w:rPr>
          <w:sz w:val="20"/>
          <w:szCs w:val="20"/>
          <w:color w:val="auto"/>
        </w:rPr>
      </w:pPr>
    </w:p>
    <w:p>
      <w:pPr>
        <w:ind w:left="320" w:right="1320"/>
        <w:spacing w:after="0" w:line="291" w:lineRule="auto"/>
        <w:rPr>
          <w:sz w:val="20"/>
          <w:szCs w:val="20"/>
          <w:color w:val="auto"/>
        </w:rPr>
      </w:pPr>
      <w:r>
        <w:rPr>
          <w:rFonts w:ascii="Arial" w:cs="Arial" w:eastAsia="Arial" w:hAnsi="Arial"/>
          <w:sz w:val="13"/>
          <w:szCs w:val="13"/>
          <w:color w:val="auto"/>
        </w:rPr>
        <w:t>Total interest-bearing deposits FHLB and short-term borrowings</w:t>
      </w:r>
    </w:p>
    <w:p>
      <w:pPr>
        <w:ind w:left="320"/>
        <w:spacing w:after="0"/>
        <w:rPr>
          <w:sz w:val="20"/>
          <w:szCs w:val="20"/>
          <w:color w:val="auto"/>
        </w:rPr>
      </w:pPr>
      <w:r>
        <w:rPr>
          <w:rFonts w:ascii="Arial" w:cs="Arial" w:eastAsia="Arial" w:hAnsi="Arial"/>
          <w:sz w:val="13"/>
          <w:szCs w:val="13"/>
          <w:color w:val="auto"/>
        </w:rPr>
        <w:t>Trust preferred securities, net of fair value adjustments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Non-interest-bearing deposits</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Cost of funds</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Other liabilities</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194,929</w:t>
            </w:r>
          </w:p>
        </w:tc>
        <w:tc>
          <w:tcPr>
            <w:tcW w:w="8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964</w:t>
            </w:r>
          </w:p>
        </w:tc>
        <w:tc>
          <w:tcPr>
            <w:tcW w:w="1240" w:type="dxa"/>
            <w:vAlign w:val="bottom"/>
            <w:gridSpan w:val="4"/>
          </w:tcPr>
          <w:p>
            <w:pPr>
              <w:jc w:val="right"/>
              <w:ind w:right="29"/>
              <w:spacing w:after="0"/>
              <w:rPr>
                <w:sz w:val="20"/>
                <w:szCs w:val="20"/>
                <w:color w:val="auto"/>
              </w:rPr>
            </w:pPr>
            <w:r>
              <w:rPr>
                <w:rFonts w:ascii="Arial" w:cs="Arial" w:eastAsia="Arial" w:hAnsi="Arial"/>
                <w:sz w:val="14"/>
                <w:szCs w:val="14"/>
                <w:color w:val="auto"/>
              </w:rPr>
              <w:t>1.96 %</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257,637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1,290</w:t>
            </w: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1.99 %</w:t>
            </w:r>
          </w:p>
        </w:tc>
        <w:tc>
          <w:tcPr>
            <w:tcW w:w="0" w:type="dxa"/>
            <w:vAlign w:val="bottom"/>
          </w:tcPr>
          <w:p>
            <w:pPr>
              <w:spacing w:after="0"/>
              <w:rPr>
                <w:sz w:val="1"/>
                <w:szCs w:val="1"/>
                <w:color w:val="auto"/>
              </w:rPr>
            </w:pPr>
          </w:p>
        </w:tc>
      </w:tr>
      <w:tr>
        <w:trPr>
          <w:trHeight w:val="151"/>
        </w:trPr>
        <w:tc>
          <w:tcPr>
            <w:tcW w:w="90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534,917</w:t>
            </w:r>
          </w:p>
        </w:tc>
        <w:tc>
          <w:tcPr>
            <w:tcW w:w="40" w:type="dxa"/>
            <w:vAlign w:val="bottom"/>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4,310</w:t>
            </w:r>
          </w:p>
        </w:tc>
        <w:tc>
          <w:tcPr>
            <w:tcW w:w="40" w:type="dxa"/>
            <w:vAlign w:val="bottom"/>
          </w:tcPr>
          <w:p>
            <w:pPr>
              <w:spacing w:after="0"/>
              <w:rPr>
                <w:sz w:val="13"/>
                <w:szCs w:val="13"/>
                <w:color w:val="auto"/>
              </w:rPr>
            </w:pPr>
          </w:p>
        </w:tc>
        <w:tc>
          <w:tcPr>
            <w:tcW w:w="980" w:type="dxa"/>
            <w:vAlign w:val="bottom"/>
            <w:tcBorders>
              <w:top w:val="single" w:sz="8" w:color="CCEEFF"/>
            </w:tcBorders>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3.20</w:t>
            </w:r>
          </w:p>
        </w:tc>
        <w:tc>
          <w:tcPr>
            <w:tcW w:w="40" w:type="dxa"/>
            <w:vAlign w:val="bottom"/>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440,669</w:t>
            </w:r>
          </w:p>
        </w:tc>
        <w:tc>
          <w:tcPr>
            <w:tcW w:w="2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3,855</w:t>
            </w:r>
          </w:p>
        </w:tc>
        <w:tc>
          <w:tcPr>
            <w:tcW w:w="40" w:type="dxa"/>
            <w:vAlign w:val="bottom"/>
          </w:tcPr>
          <w:p>
            <w:pPr>
              <w:spacing w:after="0"/>
              <w:rPr>
                <w:sz w:val="13"/>
                <w:szCs w:val="13"/>
                <w:color w:val="auto"/>
              </w:rPr>
            </w:pPr>
          </w:p>
        </w:tc>
        <w:tc>
          <w:tcPr>
            <w:tcW w:w="980" w:type="dxa"/>
            <w:vAlign w:val="bottom"/>
            <w:tcBorders>
              <w:top w:val="single" w:sz="8" w:color="CCEEFF"/>
            </w:tcBorders>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3.48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313,188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121</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0.15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166,423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90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4,230,553</w:t>
            </w:r>
          </w:p>
        </w:tc>
        <w:tc>
          <w:tcPr>
            <w:tcW w:w="40" w:type="dxa"/>
            <w:vAlign w:val="bottom"/>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42,664</w:t>
            </w:r>
          </w:p>
        </w:tc>
        <w:tc>
          <w:tcPr>
            <w:tcW w:w="40" w:type="dxa"/>
            <w:vAlign w:val="bottom"/>
          </w:tcPr>
          <w:p>
            <w:pPr>
              <w:spacing w:after="0"/>
              <w:rPr>
                <w:sz w:val="13"/>
                <w:szCs w:val="13"/>
                <w:color w:val="auto"/>
              </w:rPr>
            </w:pPr>
          </w:p>
        </w:tc>
        <w:tc>
          <w:tcPr>
            <w:tcW w:w="980" w:type="dxa"/>
            <w:vAlign w:val="bottom"/>
            <w:tcBorders>
              <w:top w:val="single" w:sz="8" w:color="CCEEFF"/>
            </w:tcBorders>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4.00</w:t>
            </w:r>
          </w:p>
        </w:tc>
        <w:tc>
          <w:tcPr>
            <w:tcW w:w="40" w:type="dxa"/>
            <w:vAlign w:val="bottom"/>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4,477,211</w:t>
            </w:r>
          </w:p>
        </w:tc>
        <w:tc>
          <w:tcPr>
            <w:tcW w:w="20" w:type="dxa"/>
            <w:vAlign w:val="bottom"/>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43,929</w:t>
            </w:r>
          </w:p>
        </w:tc>
        <w:tc>
          <w:tcPr>
            <w:tcW w:w="40" w:type="dxa"/>
            <w:vAlign w:val="bottom"/>
          </w:tcPr>
          <w:p>
            <w:pPr>
              <w:spacing w:after="0"/>
              <w:rPr>
                <w:sz w:val="13"/>
                <w:szCs w:val="13"/>
                <w:color w:val="auto"/>
              </w:rPr>
            </w:pPr>
          </w:p>
        </w:tc>
        <w:tc>
          <w:tcPr>
            <w:tcW w:w="980" w:type="dxa"/>
            <w:vAlign w:val="bottom"/>
            <w:tcBorders>
              <w:top w:val="single" w:sz="8" w:color="CCEEFF"/>
            </w:tcBorders>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3.90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5,273,587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48,059</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top w:val="single" w:sz="8" w:color="auto"/>
            </w:tcBorders>
            <w:gridSpan w:val="3"/>
          </w:tcPr>
          <w:p>
            <w:pPr>
              <w:jc w:val="right"/>
              <w:ind w:right="29"/>
              <w:spacing w:after="0"/>
              <w:rPr>
                <w:sz w:val="20"/>
                <w:szCs w:val="20"/>
                <w:color w:val="auto"/>
              </w:rPr>
            </w:pPr>
            <w:r>
              <w:rPr>
                <w:rFonts w:ascii="Arial" w:cs="Arial" w:eastAsia="Arial" w:hAnsi="Arial"/>
                <w:sz w:val="14"/>
                <w:szCs w:val="14"/>
                <w:color w:val="auto"/>
              </w:rPr>
              <w:t>3.62 %</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5,341,940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49,121</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3.66 %</w:t>
            </w:r>
          </w:p>
        </w:tc>
        <w:tc>
          <w:tcPr>
            <w:tcW w:w="0" w:type="dxa"/>
            <w:vAlign w:val="bottom"/>
          </w:tcPr>
          <w:p>
            <w:pPr>
              <w:spacing w:after="0"/>
              <w:rPr>
                <w:sz w:val="1"/>
                <w:szCs w:val="1"/>
                <w:color w:val="auto"/>
              </w:rPr>
            </w:pPr>
          </w:p>
        </w:tc>
      </w:tr>
      <w:tr>
        <w:trPr>
          <w:trHeight w:val="161"/>
        </w:trPr>
        <w:tc>
          <w:tcPr>
            <w:tcW w:w="940" w:type="dxa"/>
            <w:vAlign w:val="bottom"/>
            <w:gridSpan w:val="2"/>
          </w:tcPr>
          <w:p>
            <w:pPr>
              <w:jc w:val="right"/>
              <w:spacing w:after="0"/>
              <w:rPr>
                <w:sz w:val="20"/>
                <w:szCs w:val="20"/>
                <w:color w:val="auto"/>
              </w:rPr>
            </w:pPr>
            <w:r>
              <w:rPr>
                <w:rFonts w:ascii="Arial" w:cs="Arial" w:eastAsia="Arial" w:hAnsi="Arial"/>
                <w:sz w:val="14"/>
                <w:szCs w:val="14"/>
                <w:color w:val="auto"/>
              </w:rPr>
              <w:t>(75,103)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Borders>
              <w:right w:val="single" w:sz="8" w:color="CCEEFF"/>
            </w:tcBorders>
            <w:gridSpan w:val="3"/>
          </w:tcPr>
          <w:p>
            <w:pPr>
              <w:jc w:val="right"/>
              <w:ind w:right="60"/>
              <w:spacing w:after="0"/>
              <w:rPr>
                <w:sz w:val="20"/>
                <w:szCs w:val="20"/>
                <w:color w:val="auto"/>
              </w:rPr>
            </w:pPr>
            <w:r>
              <w:rPr>
                <w:rFonts w:ascii="Arial" w:cs="Arial" w:eastAsia="Arial" w:hAnsi="Arial"/>
                <w:sz w:val="14"/>
                <w:szCs w:val="14"/>
                <w:color w:val="auto"/>
              </w:rPr>
              <w:t>(75,970)</w:t>
            </w:r>
          </w:p>
        </w:tc>
        <w:tc>
          <w:tcPr>
            <w:tcW w:w="140" w:type="dxa"/>
            <w:vAlign w:val="bottom"/>
            <w:shd w:val="clear" w:color="auto" w:fill="CCEEFF"/>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210,500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220,282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5,408,984</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40" w:type="dxa"/>
            <w:vAlign w:val="bottom"/>
            <w:gridSpan w:val="2"/>
            <w:vMerge w:val="continue"/>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49"/>
              <w:spacing w:after="0" w:line="15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5,486,252</w:t>
            </w:r>
          </w:p>
        </w:tc>
        <w:tc>
          <w:tcPr>
            <w:tcW w:w="2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510,823</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40" w:type="dxa"/>
            <w:vAlign w:val="bottom"/>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980" w:type="dxa"/>
            <w:vAlign w:val="bottom"/>
            <w:tcBorders>
              <w:bottom w:val="single" w:sz="8" w:color="CCEEFF"/>
            </w:tcBorders>
            <w:gridSpan w:val="2"/>
          </w:tcPr>
          <w:p>
            <w:pPr>
              <w:spacing w:after="0"/>
              <w:rPr>
                <w:sz w:val="14"/>
                <w:szCs w:val="14"/>
                <w:color w:val="auto"/>
              </w:rPr>
            </w:pPr>
          </w:p>
        </w:tc>
        <w:tc>
          <w:tcPr>
            <w:tcW w:w="40" w:type="dxa"/>
            <w:vAlign w:val="bottom"/>
            <w:vMerge w:val="restart"/>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980" w:type="dxa"/>
            <w:vAlign w:val="bottom"/>
            <w:tcBorders>
              <w:bottom w:val="single" w:sz="8" w:color="CCEEFF"/>
            </w:tcBorders>
            <w:gridSpan w:val="2"/>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940" w:type="dxa"/>
            <w:vAlign w:val="bottom"/>
            <w:gridSpan w:val="2"/>
            <w:vMerge w:val="continue"/>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259</w:t>
            </w:r>
          </w:p>
        </w:tc>
        <w:tc>
          <w:tcPr>
            <w:tcW w:w="40" w:type="dxa"/>
            <w:vAlign w:val="bottom"/>
            <w:vMerge w:val="continue"/>
          </w:tcPr>
          <w:p>
            <w:pPr>
              <w:spacing w:after="0"/>
              <w:rPr>
                <w:sz w:val="12"/>
                <w:szCs w:val="12"/>
                <w:color w:val="auto"/>
              </w:rPr>
            </w:pPr>
          </w:p>
        </w:tc>
        <w:tc>
          <w:tcPr>
            <w:tcW w:w="9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0.20</w:t>
            </w:r>
          </w:p>
        </w:tc>
        <w:tc>
          <w:tcPr>
            <w:tcW w:w="40" w:type="dxa"/>
            <w:vAlign w:val="bottom"/>
            <w:vMerge w:val="continue"/>
          </w:tcPr>
          <w:p>
            <w:pPr>
              <w:spacing w:after="0"/>
              <w:rPr>
                <w:sz w:val="12"/>
                <w:szCs w:val="12"/>
                <w:color w:val="auto"/>
              </w:rPr>
            </w:pPr>
          </w:p>
        </w:tc>
        <w:tc>
          <w:tcPr>
            <w:tcW w:w="220" w:type="dxa"/>
            <w:vAlign w:val="bottom"/>
            <w:tcBorders>
              <w:right w:val="single" w:sz="8" w:color="CCEEFF"/>
            </w:tcBorders>
            <w:shd w:val="clear" w:color="auto" w:fill="CCEEFF"/>
          </w:tcPr>
          <w:p>
            <w:pPr>
              <w:jc w:val="right"/>
              <w:ind w:right="29"/>
              <w:spacing w:after="0" w:line="140" w:lineRule="exact"/>
              <w:rPr>
                <w:sz w:val="20"/>
                <w:szCs w:val="20"/>
                <w:color w:val="auto"/>
              </w:rPr>
            </w:pPr>
            <w:r>
              <w:rPr>
                <w:rFonts w:ascii="Arial" w:cs="Arial" w:eastAsia="Arial" w:hAnsi="Arial"/>
                <w:sz w:val="14"/>
                <w:szCs w:val="14"/>
                <w:color w:val="auto"/>
                <w:w w:val="79"/>
              </w:rPr>
              <w:t>%</w:t>
            </w:r>
          </w:p>
        </w:tc>
        <w:tc>
          <w:tcPr>
            <w:tcW w:w="200" w:type="dxa"/>
            <w:vAlign w:val="bottom"/>
            <w:tcBorders>
              <w:bottom w:val="single" w:sz="8" w:color="CCEEFF"/>
            </w:tcBorders>
            <w:shd w:val="clear" w:color="auto" w:fill="CCEEFF"/>
          </w:tcPr>
          <w:p>
            <w:pPr>
              <w:jc w:val="right"/>
              <w:ind w:right="49"/>
              <w:spacing w:after="0" w:line="140"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460,420</w:t>
            </w:r>
          </w:p>
        </w:tc>
        <w:tc>
          <w:tcPr>
            <w:tcW w:w="2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c>
          <w:tcPr>
            <w:tcW w:w="14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260</w:t>
            </w:r>
          </w:p>
        </w:tc>
        <w:tc>
          <w:tcPr>
            <w:tcW w:w="40" w:type="dxa"/>
            <w:vAlign w:val="bottom"/>
            <w:vMerge w:val="continue"/>
          </w:tcPr>
          <w:p>
            <w:pPr>
              <w:spacing w:after="0"/>
              <w:rPr>
                <w:sz w:val="12"/>
                <w:szCs w:val="12"/>
                <w:color w:val="auto"/>
              </w:rPr>
            </w:pPr>
          </w:p>
        </w:tc>
        <w:tc>
          <w:tcPr>
            <w:tcW w:w="9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0.22</w:t>
            </w: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2,276,436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1,907</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0.33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1,995,307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2,301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0.46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752,012</w:t>
            </w:r>
          </w:p>
        </w:tc>
        <w:tc>
          <w:tcPr>
            <w:tcW w:w="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2,045</w:t>
            </w:r>
          </w:p>
        </w:tc>
        <w:tc>
          <w:tcPr>
            <w:tcW w:w="40" w:type="dxa"/>
            <w:vAlign w:val="bottom"/>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40" w:type="dxa"/>
            <w:vAlign w:val="bottom"/>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1,174,555</w:t>
            </w:r>
          </w:p>
        </w:tc>
        <w:tc>
          <w:tcPr>
            <w:tcW w:w="20" w:type="dxa"/>
            <w:vAlign w:val="bottom"/>
          </w:tcPr>
          <w:p>
            <w:pPr>
              <w:spacing w:after="0"/>
              <w:rPr>
                <w:sz w:val="15"/>
                <w:szCs w:val="15"/>
                <w:color w:val="auto"/>
              </w:rPr>
            </w:pPr>
          </w:p>
        </w:tc>
        <w:tc>
          <w:tcPr>
            <w:tcW w:w="80" w:type="dxa"/>
            <w:vAlign w:val="bottom"/>
            <w:tcBorders>
              <w:right w:val="single" w:sz="8" w:color="CCEEFF"/>
            </w:tcBorders>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4,737</w:t>
            </w:r>
          </w:p>
        </w:tc>
        <w:tc>
          <w:tcPr>
            <w:tcW w:w="40" w:type="dxa"/>
            <w:vAlign w:val="bottom"/>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3,539,271</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4,211</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0.47</w:t>
            </w: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3,630,282</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7,298</w:t>
            </w:r>
          </w:p>
        </w:tc>
        <w:tc>
          <w:tcPr>
            <w:tcW w:w="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0.80</w:t>
            </w:r>
          </w:p>
        </w:tc>
        <w:tc>
          <w:tcPr>
            <w:tcW w:w="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278,154</w:t>
            </w: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40" w:type="dxa"/>
            <w:vAlign w:val="bottom"/>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40" w:type="dxa"/>
            <w:vAlign w:val="bottom"/>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479,475</w:t>
            </w:r>
          </w:p>
        </w:tc>
        <w:tc>
          <w:tcPr>
            <w:tcW w:w="2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40" w:type="dxa"/>
            <w:vAlign w:val="bottom"/>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988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6"/>
                <w:szCs w:val="16"/>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9.63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944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24</w:t>
            </w:r>
          </w:p>
        </w:tc>
        <w:tc>
          <w:tcPr>
            <w:tcW w:w="1160" w:type="dxa"/>
            <w:vAlign w:val="bottom"/>
            <w:gridSpan w:val="3"/>
          </w:tcPr>
          <w:p>
            <w:pPr>
              <w:jc w:val="right"/>
              <w:ind w:right="109"/>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61"/>
        </w:trPr>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909,750</w:t>
            </w: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CCEEFF"/>
            </w:tcBorders>
            <w:shd w:val="clear" w:color="auto" w:fill="CCEEFF"/>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714,337</w:t>
            </w:r>
          </w:p>
        </w:tc>
        <w:tc>
          <w:tcPr>
            <w:tcW w:w="20" w:type="dxa"/>
            <w:vAlign w:val="bottom"/>
            <w:tcBorders>
              <w:bottom w:val="single" w:sz="8" w:color="auto"/>
            </w:tcBorders>
          </w:tcPr>
          <w:p>
            <w:pPr>
              <w:spacing w:after="0"/>
              <w:rPr>
                <w:sz w:val="13"/>
                <w:szCs w:val="13"/>
                <w:color w:val="auto"/>
              </w:rPr>
            </w:pPr>
          </w:p>
        </w:tc>
        <w:tc>
          <w:tcPr>
            <w:tcW w:w="80" w:type="dxa"/>
            <w:vAlign w:val="bottom"/>
            <w:tcBorders>
              <w:right w:val="single" w:sz="8" w:color="CCEEFF"/>
            </w:tcBorders>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4,728,163</w:t>
            </w:r>
          </w:p>
        </w:tc>
        <w:tc>
          <w:tcPr>
            <w:tcW w:w="8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5,510</w:t>
            </w:r>
          </w:p>
        </w:tc>
        <w:tc>
          <w:tcPr>
            <w:tcW w:w="80" w:type="dxa"/>
            <w:vAlign w:val="bottom"/>
          </w:tcPr>
          <w:p>
            <w:pPr>
              <w:spacing w:after="0"/>
              <w:rPr>
                <w:sz w:val="15"/>
                <w:szCs w:val="15"/>
                <w:color w:val="auto"/>
              </w:rPr>
            </w:pPr>
          </w:p>
        </w:tc>
        <w:tc>
          <w:tcPr>
            <w:tcW w:w="1160" w:type="dxa"/>
            <w:vAlign w:val="bottom"/>
            <w:gridSpan w:val="3"/>
          </w:tcPr>
          <w:p>
            <w:pPr>
              <w:jc w:val="right"/>
              <w:ind w:right="29"/>
              <w:spacing w:after="0"/>
              <w:rPr>
                <w:sz w:val="20"/>
                <w:szCs w:val="20"/>
                <w:color w:val="auto"/>
              </w:rPr>
            </w:pPr>
            <w:r>
              <w:rPr>
                <w:rFonts w:ascii="Arial" w:cs="Arial" w:eastAsia="Arial" w:hAnsi="Arial"/>
                <w:sz w:val="14"/>
                <w:szCs w:val="14"/>
                <w:color w:val="auto"/>
              </w:rPr>
              <w:t>0.46 %</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4,825,038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9,125</w:t>
            </w:r>
          </w:p>
        </w:tc>
        <w:tc>
          <w:tcPr>
            <w:tcW w:w="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0.75 %</w:t>
            </w: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36,106</w:t>
            </w: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47,304</w:t>
            </w:r>
          </w:p>
        </w:tc>
        <w:tc>
          <w:tcPr>
            <w:tcW w:w="20" w:type="dxa"/>
            <w:vAlign w:val="bottom"/>
          </w:tcPr>
          <w:p>
            <w:pPr>
              <w:spacing w:after="0"/>
              <w:rPr>
                <w:sz w:val="14"/>
                <w:szCs w:val="14"/>
                <w:color w:val="auto"/>
              </w:rPr>
            </w:pPr>
          </w:p>
        </w:tc>
        <w:tc>
          <w:tcPr>
            <w:tcW w:w="80" w:type="dxa"/>
            <w:vAlign w:val="bottom"/>
            <w:tcBorders>
              <w:right w:val="single" w:sz="8" w:color="CCEEFF"/>
            </w:tcBorders>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644,715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613,910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560" w:space="140"/>
            <w:col w:w="6800"/>
          </w:cols>
          <w:pgMar w:left="780" w:top="406" w:right="619" w:bottom="1440" w:gutter="0" w:footer="0" w:header="0"/>
          <w:type w:val="continuous"/>
        </w:sectPr>
      </w:pPr>
    </w:p>
    <w:tbl>
      <w:tblPr>
        <w:tblLayout w:type="fixed"/>
        <w:tblInd w:w="120" w:type="dxa"/>
        <w:tblCellMar>
          <w:top w:w="0" w:type="dxa"/>
          <w:left w:w="0" w:type="dxa"/>
          <w:bottom w:w="0" w:type="dxa"/>
          <w:right w:w="0" w:type="dxa"/>
        </w:tblCellMar>
      </w:tblPr>
      <w:tr>
        <w:trPr>
          <w:trHeight w:val="185"/>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5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5,408,984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auto"/>
            </w:tcBorders>
            <w:shd w:val="clear" w:color="auto" w:fill="CCEEFF"/>
          </w:tcPr>
          <w:p>
            <w:pPr>
              <w:spacing w:after="0"/>
              <w:rPr>
                <w:sz w:val="16"/>
                <w:szCs w:val="16"/>
                <w:color w:val="auto"/>
              </w:rPr>
            </w:pPr>
          </w:p>
        </w:tc>
        <w:tc>
          <w:tcPr>
            <w:tcW w:w="94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5,486,252</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auto"/>
            </w:tcBorders>
            <w:shd w:val="clear" w:color="auto" w:fill="CCEEFF"/>
          </w:tcPr>
          <w:p>
            <w:pPr>
              <w:spacing w:after="0"/>
              <w:rPr>
                <w:sz w:val="16"/>
                <w:szCs w:val="16"/>
                <w:color w:val="auto"/>
              </w:rPr>
            </w:pPr>
          </w:p>
        </w:tc>
        <w:tc>
          <w:tcPr>
            <w:tcW w:w="94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line="194" w:lineRule="exact"/>
              <w:rPr>
                <w:sz w:val="20"/>
                <w:szCs w:val="20"/>
                <w:color w:val="auto"/>
              </w:rPr>
            </w:pPr>
            <w:r>
              <w:rPr>
                <w:rFonts w:ascii="Arial" w:cs="Arial" w:eastAsia="Arial" w:hAnsi="Arial"/>
                <w:sz w:val="14"/>
                <w:szCs w:val="14"/>
                <w:color w:val="auto"/>
              </w:rPr>
              <w:t>Net interest income - tax-equivalent</w:t>
            </w:r>
            <w:r>
              <w:rPr>
                <w:rFonts w:ascii="Arial" w:cs="Arial" w:eastAsia="Arial" w:hAnsi="Arial"/>
                <w:sz w:val="18"/>
                <w:szCs w:val="18"/>
                <w:color w:val="auto"/>
                <w:vertAlign w:val="superscript"/>
              </w:rPr>
              <w:t>(1)</w:t>
            </w: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42,549</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39,996</w:t>
            </w: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spacing w:after="0"/>
              <w:rPr>
                <w:sz w:val="16"/>
                <w:szCs w:val="16"/>
                <w:color w:val="auto"/>
              </w:rPr>
            </w:pPr>
          </w:p>
        </w:tc>
        <w:tc>
          <w:tcPr>
            <w:tcW w:w="20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4"/>
                <w:szCs w:val="14"/>
                <w:color w:val="auto"/>
              </w:rPr>
              <w:t>Net interest spread - tax-equivalent</w:t>
            </w:r>
            <w:r>
              <w:rPr>
                <w:rFonts w:ascii="Arial" w:cs="Arial" w:eastAsia="Arial" w:hAnsi="Arial"/>
                <w:sz w:val="17"/>
                <w:szCs w:val="17"/>
                <w:color w:val="auto"/>
                <w:vertAlign w:val="superscript"/>
              </w:rPr>
              <w:t>(1)</w:t>
            </w:r>
          </w:p>
        </w:tc>
        <w:tc>
          <w:tcPr>
            <w:tcW w:w="5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3.16</w:t>
            </w:r>
          </w:p>
        </w:tc>
        <w:tc>
          <w:tcPr>
            <w:tcW w:w="2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2.91</w:t>
            </w:r>
          </w:p>
        </w:tc>
        <w:tc>
          <w:tcPr>
            <w:tcW w:w="1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line="194" w:lineRule="exact"/>
              <w:rPr>
                <w:sz w:val="20"/>
                <w:szCs w:val="20"/>
                <w:color w:val="auto"/>
              </w:rPr>
            </w:pPr>
            <w:r>
              <w:rPr>
                <w:rFonts w:ascii="Arial" w:cs="Arial" w:eastAsia="Arial" w:hAnsi="Arial"/>
                <w:sz w:val="14"/>
                <w:szCs w:val="14"/>
                <w:color w:val="auto"/>
              </w:rPr>
              <w:t>Net interest margin - tax-equivalent</w:t>
            </w:r>
            <w:r>
              <w:rPr>
                <w:rFonts w:ascii="Arial" w:cs="Arial" w:eastAsia="Arial" w:hAnsi="Arial"/>
                <w:sz w:val="18"/>
                <w:szCs w:val="18"/>
                <w:color w:val="auto"/>
                <w:vertAlign w:val="superscript"/>
              </w:rPr>
              <w:t>(1)</w:t>
            </w: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8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8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3.20 %</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2.98</w:t>
            </w:r>
          </w:p>
        </w:tc>
        <w:tc>
          <w:tcPr>
            <w:tcW w:w="1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hanging="237"/>
        <w:spacing w:after="0" w:line="226" w:lineRule="auto"/>
        <w:tabs>
          <w:tab w:leader="none" w:pos="360" w:val="left"/>
        </w:tabs>
        <w:numPr>
          <w:ilvl w:val="0"/>
          <w:numId w:val="11"/>
        </w:numPr>
        <w:rPr>
          <w:rFonts w:ascii="Arial" w:cs="Arial" w:eastAsia="Arial" w:hAnsi="Arial"/>
          <w:sz w:val="18"/>
          <w:szCs w:val="18"/>
          <w:color w:val="auto"/>
          <w:vertAlign w:val="superscript"/>
        </w:rPr>
      </w:pPr>
      <w:r>
        <w:rPr>
          <w:rFonts w:ascii="Arial" w:cs="Arial" w:eastAsia="Arial" w:hAnsi="Arial"/>
          <w:sz w:val="13"/>
          <w:szCs w:val="13"/>
          <w:color w:val="auto"/>
        </w:rPr>
        <w:t>Tax exempt income is calculated on a tax equivalent basis. Tax-free municipal securities are exempt from Federal income taxes. The incremental tax rate used is 21.0%.</w:t>
      </w:r>
    </w:p>
    <w:p>
      <w:pPr>
        <w:ind w:left="360" w:hanging="237"/>
        <w:spacing w:after="0"/>
        <w:tabs>
          <w:tab w:leader="none" w:pos="360" w:val="left"/>
        </w:tabs>
        <w:numPr>
          <w:ilvl w:val="0"/>
          <w:numId w:val="11"/>
        </w:numPr>
        <w:rPr>
          <w:rFonts w:ascii="Arial" w:cs="Arial" w:eastAsia="Arial" w:hAnsi="Arial"/>
          <w:sz w:val="9"/>
          <w:szCs w:val="9"/>
          <w:color w:val="auto"/>
        </w:rPr>
      </w:pPr>
      <w:r>
        <w:rPr>
          <w:rFonts w:ascii="Arial" w:cs="Arial" w:eastAsia="Arial" w:hAnsi="Arial"/>
          <w:sz w:val="13"/>
          <w:szCs w:val="13"/>
          <w:color w:val="auto"/>
        </w:rPr>
        <w:t>Loans, net of unearned income include non-accrual loans of $48 million and $76 million as of September 30, 2021 and 2020, respectively.</w:t>
      </w:r>
    </w:p>
    <w:p>
      <w:pPr>
        <w:spacing w:after="0" w:line="21" w:lineRule="exact"/>
        <w:rPr>
          <w:rFonts w:ascii="Arial" w:cs="Arial" w:eastAsia="Arial" w:hAnsi="Arial"/>
          <w:sz w:val="9"/>
          <w:szCs w:val="9"/>
          <w:color w:val="auto"/>
        </w:rPr>
      </w:pPr>
    </w:p>
    <w:p>
      <w:pPr>
        <w:ind w:left="360" w:hanging="237"/>
        <w:spacing w:after="0"/>
        <w:tabs>
          <w:tab w:leader="none" w:pos="360" w:val="left"/>
        </w:tabs>
        <w:numPr>
          <w:ilvl w:val="0"/>
          <w:numId w:val="11"/>
        </w:numPr>
        <w:rPr>
          <w:rFonts w:ascii="Arial" w:cs="Arial" w:eastAsia="Arial" w:hAnsi="Arial"/>
          <w:sz w:val="9"/>
          <w:szCs w:val="9"/>
          <w:color w:val="auto"/>
        </w:rPr>
      </w:pPr>
      <w:r>
        <w:rPr>
          <w:rFonts w:ascii="Arial" w:cs="Arial" w:eastAsia="Arial" w:hAnsi="Arial"/>
          <w:sz w:val="13"/>
          <w:szCs w:val="13"/>
          <w:color w:val="auto"/>
        </w:rPr>
        <w:t>Loan interest income includes loan fees of $4 million and $3 million for the quarter ended September 30, 2021 and 2020, respectively.</w:t>
      </w:r>
    </w:p>
    <w:p>
      <w:pPr>
        <w:spacing w:after="0" w:line="21" w:lineRule="exact"/>
        <w:rPr>
          <w:rFonts w:ascii="Arial" w:cs="Arial" w:eastAsia="Arial" w:hAnsi="Arial"/>
          <w:sz w:val="9"/>
          <w:szCs w:val="9"/>
          <w:color w:val="auto"/>
        </w:rPr>
      </w:pPr>
    </w:p>
    <w:p>
      <w:pPr>
        <w:ind w:left="360" w:hanging="237"/>
        <w:spacing w:after="0"/>
        <w:tabs>
          <w:tab w:leader="none" w:pos="360" w:val="left"/>
        </w:tabs>
        <w:numPr>
          <w:ilvl w:val="0"/>
          <w:numId w:val="11"/>
        </w:numPr>
        <w:rPr>
          <w:rFonts w:ascii="Arial" w:cs="Arial" w:eastAsia="Arial" w:hAnsi="Arial"/>
          <w:sz w:val="15"/>
          <w:szCs w:val="15"/>
          <w:color w:val="auto"/>
          <w:vertAlign w:val="superscript"/>
        </w:rPr>
      </w:pPr>
      <w:r>
        <w:rPr>
          <w:rFonts w:ascii="Arial" w:cs="Arial" w:eastAsia="Arial" w:hAnsi="Arial"/>
          <w:sz w:val="11"/>
          <w:szCs w:val="11"/>
          <w:color w:val="auto"/>
        </w:rPr>
        <w:t>Actual unrounded values are used to calculate the reported yield or rate. Accordingly, recalculations using the amounts in thousands as disclosed in this report may not produce the same amounts.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0500"/>
          </w:cols>
          <w:pgMar w:left="780" w:top="406" w:right="61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315"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For the Nine Months Ended</w:t>
      </w:r>
    </w:p>
    <w:p>
      <w:pPr>
        <w:spacing w:after="0" w:line="63" w:lineRule="exact"/>
        <w:rPr>
          <w:sz w:val="20"/>
          <w:szCs w:val="20"/>
          <w:color w:val="auto"/>
        </w:rPr>
      </w:pPr>
    </w:p>
    <w:tbl>
      <w:tblPr>
        <w:tblLayout w:type="fixed"/>
        <w:tblInd w:w="3480" w:type="dxa"/>
        <w:tblCellMar>
          <w:top w:w="0" w:type="dxa"/>
          <w:left w:w="0" w:type="dxa"/>
          <w:bottom w:w="0" w:type="dxa"/>
          <w:right w:w="0" w:type="dxa"/>
        </w:tblCellMar>
      </w:tblPr>
      <w:tr>
        <w:trPr>
          <w:trHeight w:val="191"/>
        </w:trPr>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September 30, 2021</w:t>
            </w: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9"/>
              </w:rPr>
              <w:t>2020</w:t>
            </w:r>
          </w:p>
        </w:tc>
        <w:tc>
          <w:tcPr>
            <w:tcW w:w="1080" w:type="dxa"/>
            <w:vAlign w:val="bottom"/>
            <w:tcBorders>
              <w:bottom w:val="single" w:sz="8" w:color="auto"/>
            </w:tcBorders>
          </w:tcPr>
          <w:p>
            <w:pPr>
              <w:spacing w:after="0"/>
              <w:rPr>
                <w:sz w:val="16"/>
                <w:szCs w:val="16"/>
                <w:color w:val="auto"/>
              </w:rPr>
            </w:pPr>
          </w:p>
        </w:tc>
      </w:tr>
      <w:tr>
        <w:trPr>
          <w:trHeight w:val="235"/>
        </w:trPr>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Interest Income /</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Yield /</w:t>
            </w: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Interest Income /</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Yield /</w:t>
            </w:r>
          </w:p>
        </w:tc>
      </w:tr>
      <w:tr>
        <w:trPr>
          <w:trHeight w:val="167"/>
        </w:trPr>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0"/>
              </w:rPr>
              <w:t>Average Balance</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4"/>
                <w:szCs w:val="14"/>
                <w:b w:val="1"/>
                <w:bCs w:val="1"/>
                <w:color w:val="auto"/>
                <w:w w:val="88"/>
              </w:rPr>
              <w:t>Rate</w:t>
            </w:r>
            <w:r>
              <w:rPr>
                <w:rFonts w:ascii="Arial" w:cs="Arial" w:eastAsia="Arial" w:hAnsi="Arial"/>
                <w:sz w:val="18"/>
                <w:szCs w:val="18"/>
                <w:b w:val="1"/>
                <w:bCs w:val="1"/>
                <w:color w:val="auto"/>
                <w:w w:val="88"/>
                <w:vertAlign w:val="superscript"/>
              </w:rPr>
              <w:t>(4)</w:t>
            </w:r>
          </w:p>
        </w:tc>
        <w:tc>
          <w:tcPr>
            <w:tcW w:w="60" w:type="dxa"/>
            <w:vAlign w:val="bottom"/>
          </w:tcPr>
          <w:p>
            <w:pPr>
              <w:spacing w:after="0"/>
              <w:rPr>
                <w:sz w:val="14"/>
                <w:szCs w:val="14"/>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3"/>
              </w:rPr>
              <w:t>Average Balance</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Expense</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4"/>
                <w:szCs w:val="14"/>
                <w:b w:val="1"/>
                <w:bCs w:val="1"/>
                <w:color w:val="auto"/>
                <w:w w:val="88"/>
              </w:rPr>
              <w:t>Rate</w:t>
            </w:r>
            <w:r>
              <w:rPr>
                <w:rFonts w:ascii="Arial" w:cs="Arial" w:eastAsia="Arial" w:hAnsi="Arial"/>
                <w:sz w:val="18"/>
                <w:szCs w:val="18"/>
                <w:b w:val="1"/>
                <w:bCs w:val="1"/>
                <w:color w:val="auto"/>
                <w:w w:val="88"/>
                <w:vertAlign w:val="superscript"/>
              </w:rPr>
              <w:t>(4)</w:t>
            </w:r>
          </w:p>
        </w:tc>
      </w:tr>
    </w:tbl>
    <w:p>
      <w:pPr>
        <w:spacing w:after="0" w:line="36" w:lineRule="exact"/>
        <w:rPr>
          <w:sz w:val="20"/>
          <w:szCs w:val="20"/>
          <w:color w:val="auto"/>
        </w:rPr>
      </w:pPr>
    </w:p>
    <w:p>
      <w:pPr>
        <w:ind w:left="6400"/>
        <w:spacing w:after="0"/>
        <w:rPr>
          <w:sz w:val="20"/>
          <w:szCs w:val="20"/>
          <w:color w:val="auto"/>
        </w:rPr>
      </w:pPr>
      <w:r>
        <w:rPr>
          <w:rFonts w:ascii="Arial" w:cs="Arial" w:eastAsia="Arial" w:hAnsi="Arial"/>
          <w:sz w:val="13"/>
          <w:szCs w:val="13"/>
          <w:i w:val="1"/>
          <w:iCs w:val="1"/>
          <w:color w:val="auto"/>
        </w:rPr>
        <w:t>(Dollars in thousands)</w:t>
      </w:r>
    </w:p>
    <w:p>
      <w:pPr>
        <w:sectPr>
          <w:pgSz w:w="11900" w:h="16838" w:orient="portrait"/>
          <w:cols w:equalWidth="0" w:num="1">
            <w:col w:w="10500"/>
          </w:cols>
          <w:pgMar w:left="780" w:top="406" w:right="619" w:bottom="1440" w:gutter="0" w:footer="0" w:header="0"/>
        </w:sectPr>
      </w:pPr>
    </w:p>
    <w:p>
      <w:pPr>
        <w:spacing w:after="0" w:line="2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Interest-earning assets: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Securities - taxable</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Securities - tax-exempt</w:t>
      </w:r>
      <w:r>
        <w:rPr>
          <w:rFonts w:ascii="Arial" w:cs="Arial" w:eastAsia="Arial" w:hAnsi="Arial"/>
          <w:sz w:val="18"/>
          <w:szCs w:val="18"/>
          <w:color w:val="auto"/>
          <w:vertAlign w:val="superscript"/>
        </w:rPr>
        <w:t>(1)</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Federal funds sold</w:t>
      </w:r>
    </w:p>
    <w:p>
      <w:pPr>
        <w:spacing w:after="0" w:line="8" w:lineRule="exact"/>
        <w:rPr>
          <w:sz w:val="20"/>
          <w:szCs w:val="20"/>
          <w:color w:val="auto"/>
        </w:rPr>
      </w:pPr>
    </w:p>
    <w:p>
      <w:pPr>
        <w:jc w:val="both"/>
        <w:ind w:left="320" w:right="820"/>
        <w:spacing w:after="0" w:line="340" w:lineRule="auto"/>
        <w:rPr>
          <w:sz w:val="20"/>
          <w:szCs w:val="20"/>
          <w:color w:val="auto"/>
        </w:rPr>
      </w:pPr>
      <w:r>
        <w:rPr>
          <w:rFonts w:ascii="Arial" w:cs="Arial" w:eastAsia="Arial" w:hAnsi="Arial"/>
          <w:sz w:val="12"/>
          <w:szCs w:val="12"/>
          <w:color w:val="auto"/>
        </w:rPr>
        <w:t>Interest-bearing deposits in other banks Gross loans, net of unearned income</w:t>
      </w:r>
      <w:r>
        <w:rPr>
          <w:rFonts w:ascii="Arial" w:cs="Arial" w:eastAsia="Arial" w:hAnsi="Arial"/>
          <w:sz w:val="15"/>
          <w:szCs w:val="15"/>
          <w:color w:val="auto"/>
          <w:vertAlign w:val="superscript"/>
        </w:rPr>
        <w:t>(2)(3)</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 interest-earning assets</w:t>
      </w:r>
      <w:r>
        <w:rPr>
          <w:rFonts w:ascii="Arial" w:cs="Arial" w:eastAsia="Arial" w:hAnsi="Arial"/>
          <w:sz w:val="18"/>
          <w:szCs w:val="18"/>
          <w:color w:val="auto"/>
          <w:vertAlign w:val="superscript"/>
        </w:rPr>
        <w:t>(1)</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Allowance for loan losses</w:t>
      </w:r>
    </w:p>
    <w:p>
      <w:pPr>
        <w:spacing w:after="0" w:line="8" w:lineRule="exact"/>
        <w:rPr>
          <w:sz w:val="20"/>
          <w:szCs w:val="20"/>
          <w:color w:val="auto"/>
        </w:rPr>
      </w:pPr>
    </w:p>
    <w:p>
      <w:pPr>
        <w:ind w:left="120" w:right="1240" w:firstLine="192"/>
        <w:spacing w:after="0" w:line="307" w:lineRule="auto"/>
        <w:rPr>
          <w:sz w:val="20"/>
          <w:szCs w:val="20"/>
          <w:color w:val="auto"/>
        </w:rPr>
      </w:pPr>
      <w:r>
        <w:rPr>
          <w:rFonts w:ascii="Arial" w:cs="Arial" w:eastAsia="Arial" w:hAnsi="Arial"/>
          <w:sz w:val="14"/>
          <w:szCs w:val="14"/>
          <w:color w:val="auto"/>
        </w:rPr>
        <w:t>Other non-interest-earning assets Total assets</w:t>
      </w:r>
    </w:p>
    <w:p>
      <w:pPr>
        <w:ind w:left="120"/>
        <w:spacing w:after="0"/>
        <w:rPr>
          <w:sz w:val="20"/>
          <w:szCs w:val="20"/>
          <w:color w:val="auto"/>
        </w:rPr>
      </w:pPr>
      <w:r>
        <w:rPr>
          <w:rFonts w:ascii="Arial" w:cs="Arial" w:eastAsia="Arial" w:hAnsi="Arial"/>
          <w:sz w:val="14"/>
          <w:szCs w:val="14"/>
          <w:b w:val="1"/>
          <w:bCs w:val="1"/>
          <w:color w:val="auto"/>
        </w:rPr>
        <w:t>Interest-bearing liabilities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Transaction deposits</w:t>
      </w:r>
    </w:p>
    <w:p>
      <w:pPr>
        <w:spacing w:after="0" w:line="20" w:lineRule="exact"/>
        <w:rPr>
          <w:sz w:val="20"/>
          <w:szCs w:val="20"/>
          <w:color w:val="auto"/>
        </w:rPr>
      </w:pPr>
    </w:p>
    <w:p>
      <w:pPr>
        <w:ind w:left="320" w:right="1080"/>
        <w:spacing w:after="0" w:line="278" w:lineRule="auto"/>
        <w:rPr>
          <w:sz w:val="20"/>
          <w:szCs w:val="20"/>
          <w:color w:val="auto"/>
        </w:rPr>
      </w:pPr>
      <w:r>
        <w:rPr>
          <w:rFonts w:ascii="Arial" w:cs="Arial" w:eastAsia="Arial" w:hAnsi="Arial"/>
          <w:sz w:val="14"/>
          <w:szCs w:val="14"/>
          <w:color w:val="auto"/>
        </w:rPr>
        <w:t>Savings and money market deposits Time deposits</w:t>
      </w:r>
    </w:p>
    <w:p>
      <w:pPr>
        <w:ind w:left="320" w:right="1200"/>
        <w:spacing w:after="0" w:line="291" w:lineRule="auto"/>
        <w:rPr>
          <w:sz w:val="20"/>
          <w:szCs w:val="20"/>
          <w:color w:val="auto"/>
        </w:rPr>
      </w:pPr>
      <w:r>
        <w:rPr>
          <w:rFonts w:ascii="Arial" w:cs="Arial" w:eastAsia="Arial" w:hAnsi="Arial"/>
          <w:sz w:val="13"/>
          <w:szCs w:val="13"/>
          <w:color w:val="auto"/>
        </w:rPr>
        <w:t>Total interest-bearing deposits FHLB and short-term borrowings</w:t>
      </w:r>
    </w:p>
    <w:p>
      <w:pPr>
        <w:ind w:left="320"/>
        <w:spacing w:after="0"/>
        <w:rPr>
          <w:sz w:val="20"/>
          <w:szCs w:val="20"/>
          <w:color w:val="auto"/>
        </w:rPr>
      </w:pPr>
      <w:r>
        <w:rPr>
          <w:rFonts w:ascii="Arial" w:cs="Arial" w:eastAsia="Arial" w:hAnsi="Arial"/>
          <w:sz w:val="12"/>
          <w:szCs w:val="12"/>
          <w:color w:val="auto"/>
        </w:rPr>
        <w:t>Trust preferred securities, net of fair value adjustments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Non-interest-bearing deposits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Cost of funds</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207,691</w:t>
            </w:r>
          </w:p>
        </w:tc>
        <w:tc>
          <w:tcPr>
            <w:tcW w:w="8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2,911</w:t>
            </w:r>
          </w:p>
        </w:tc>
        <w:tc>
          <w:tcPr>
            <w:tcW w:w="40" w:type="dxa"/>
            <w:vAlign w:val="bottom"/>
          </w:tcPr>
          <w:p>
            <w:pPr>
              <w:spacing w:after="0"/>
              <w:rPr>
                <w:sz w:val="16"/>
                <w:szCs w:val="16"/>
                <w:color w:val="auto"/>
              </w:rPr>
            </w:pPr>
          </w:p>
        </w:tc>
        <w:tc>
          <w:tcPr>
            <w:tcW w:w="1240" w:type="dxa"/>
            <w:vAlign w:val="bottom"/>
            <w:gridSpan w:val="5"/>
          </w:tcPr>
          <w:p>
            <w:pPr>
              <w:jc w:val="right"/>
              <w:ind w:right="29"/>
              <w:spacing w:after="0"/>
              <w:rPr>
                <w:sz w:val="20"/>
                <w:szCs w:val="20"/>
                <w:color w:val="auto"/>
              </w:rPr>
            </w:pPr>
            <w:r>
              <w:rPr>
                <w:rFonts w:ascii="Arial" w:cs="Arial" w:eastAsia="Arial" w:hAnsi="Arial"/>
                <w:sz w:val="14"/>
                <w:szCs w:val="14"/>
                <w:color w:val="auto"/>
              </w:rPr>
              <w:t>1.87 %</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285,363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4,982</w:t>
            </w: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2.33 %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507,986</w:t>
            </w:r>
          </w:p>
        </w:tc>
        <w:tc>
          <w:tcPr>
            <w:tcW w:w="4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12,596</w:t>
            </w:r>
          </w:p>
        </w:tc>
        <w:tc>
          <w:tcPr>
            <w:tcW w:w="40" w:type="dxa"/>
            <w:vAlign w:val="bottom"/>
          </w:tcPr>
          <w:p>
            <w:pPr>
              <w:spacing w:after="0"/>
              <w:rPr>
                <w:sz w:val="12"/>
                <w:szCs w:val="12"/>
                <w:color w:val="auto"/>
              </w:rPr>
            </w:pPr>
          </w:p>
        </w:tc>
        <w:tc>
          <w:tcPr>
            <w:tcW w:w="980" w:type="dxa"/>
            <w:vAlign w:val="bottom"/>
            <w:gridSpan w:val="3"/>
            <w:shd w:val="clear" w:color="auto" w:fill="CCEEFF"/>
          </w:tcPr>
          <w:p>
            <w:pPr>
              <w:jc w:val="right"/>
              <w:spacing w:after="0" w:line="108" w:lineRule="exact"/>
              <w:rPr>
                <w:sz w:val="20"/>
                <w:szCs w:val="20"/>
                <w:color w:val="auto"/>
              </w:rPr>
            </w:pPr>
            <w:r>
              <w:rPr>
                <w:rFonts w:ascii="Arial" w:cs="Arial" w:eastAsia="Arial" w:hAnsi="Arial"/>
                <w:sz w:val="12"/>
                <w:szCs w:val="12"/>
                <w:color w:val="auto"/>
              </w:rPr>
              <w:t>3.32</w:t>
            </w:r>
          </w:p>
        </w:tc>
        <w:tc>
          <w:tcPr>
            <w:tcW w:w="40" w:type="dxa"/>
            <w:vAlign w:val="bottom"/>
            <w:vMerge w:val="continue"/>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443,506</w:t>
            </w:r>
          </w:p>
        </w:tc>
        <w:tc>
          <w:tcPr>
            <w:tcW w:w="20" w:type="dxa"/>
            <w:vAlign w:val="bottom"/>
          </w:tcPr>
          <w:p>
            <w:pPr>
              <w:spacing w:after="0"/>
              <w:rPr>
                <w:sz w:val="12"/>
                <w:szCs w:val="12"/>
                <w:color w:val="auto"/>
              </w:rPr>
            </w:pPr>
          </w:p>
        </w:tc>
        <w:tc>
          <w:tcPr>
            <w:tcW w:w="100" w:type="dxa"/>
            <w:vAlign w:val="bottom"/>
            <w:tcBorders>
              <w:right w:val="single" w:sz="8" w:color="CCEEFF"/>
            </w:tcBorders>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11,807</w:t>
            </w:r>
          </w:p>
        </w:tc>
        <w:tc>
          <w:tcPr>
            <w:tcW w:w="40" w:type="dxa"/>
            <w:vAlign w:val="bottom"/>
          </w:tcPr>
          <w:p>
            <w:pPr>
              <w:spacing w:after="0"/>
              <w:rPr>
                <w:sz w:val="12"/>
                <w:szCs w:val="12"/>
                <w:color w:val="auto"/>
              </w:rPr>
            </w:pPr>
          </w:p>
        </w:tc>
        <w:tc>
          <w:tcPr>
            <w:tcW w:w="9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rPr>
              <w:t>3.56</w:t>
            </w: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1,364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390,588</w:t>
            </w: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40" w:type="dxa"/>
            <w:vAlign w:val="bottom"/>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40" w:type="dxa"/>
            <w:vAlign w:val="bottom"/>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170,316</w:t>
            </w:r>
          </w:p>
        </w:tc>
        <w:tc>
          <w:tcPr>
            <w:tcW w:w="20" w:type="dxa"/>
            <w:vAlign w:val="bottom"/>
          </w:tcPr>
          <w:p>
            <w:pPr>
              <w:spacing w:after="0"/>
              <w:rPr>
                <w:sz w:val="13"/>
                <w:szCs w:val="13"/>
                <w:color w:val="auto"/>
              </w:rPr>
            </w:pPr>
          </w:p>
        </w:tc>
        <w:tc>
          <w:tcPr>
            <w:tcW w:w="100" w:type="dxa"/>
            <w:vAlign w:val="bottom"/>
            <w:tcBorders>
              <w:right w:val="single" w:sz="8" w:color="CCEEFF"/>
            </w:tcBorders>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40" w:type="dxa"/>
            <w:vAlign w:val="bottom"/>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4,381,213</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130,268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3.98</w:t>
            </w: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4,248,520</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138,591</w:t>
            </w:r>
          </w:p>
        </w:tc>
        <w:tc>
          <w:tcPr>
            <w:tcW w:w="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1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90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5,487,478</w:t>
            </w:r>
          </w:p>
        </w:tc>
        <w:tc>
          <w:tcPr>
            <w:tcW w:w="40" w:type="dxa"/>
            <w:vAlign w:val="bottom"/>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146,134</w:t>
            </w:r>
          </w:p>
        </w:tc>
        <w:tc>
          <w:tcPr>
            <w:tcW w:w="40" w:type="dxa"/>
            <w:vAlign w:val="bottom"/>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3.56</w:t>
            </w:r>
          </w:p>
        </w:tc>
        <w:tc>
          <w:tcPr>
            <w:tcW w:w="40" w:type="dxa"/>
            <w:vAlign w:val="bottom"/>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jc w:val="right"/>
              <w:ind w:right="29"/>
              <w:spacing w:after="0" w:line="139" w:lineRule="exact"/>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2"/>
                <w:szCs w:val="12"/>
                <w:color w:val="auto"/>
              </w:rPr>
            </w:pPr>
          </w:p>
        </w:tc>
        <w:tc>
          <w:tcPr>
            <w:tcW w:w="9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5,149,069</w:t>
            </w:r>
          </w:p>
        </w:tc>
        <w:tc>
          <w:tcPr>
            <w:tcW w:w="20" w:type="dxa"/>
            <w:vAlign w:val="bottom"/>
          </w:tcPr>
          <w:p>
            <w:pPr>
              <w:spacing w:after="0"/>
              <w:rPr>
                <w:sz w:val="12"/>
                <w:szCs w:val="12"/>
                <w:color w:val="auto"/>
              </w:rPr>
            </w:pPr>
          </w:p>
        </w:tc>
        <w:tc>
          <w:tcPr>
            <w:tcW w:w="100" w:type="dxa"/>
            <w:vAlign w:val="bottom"/>
            <w:tcBorders>
              <w:right w:val="single" w:sz="8" w:color="CCEEFF"/>
            </w:tcBorders>
          </w:tcPr>
          <w:p>
            <w:pPr>
              <w:spacing w:after="0"/>
              <w:rPr>
                <w:sz w:val="12"/>
                <w:szCs w:val="12"/>
                <w:color w:val="auto"/>
              </w:rPr>
            </w:pPr>
          </w:p>
        </w:tc>
        <w:tc>
          <w:tcPr>
            <w:tcW w:w="120" w:type="dxa"/>
            <w:vAlign w:val="bottom"/>
            <w:tcBorders>
              <w:top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155,964</w:t>
            </w:r>
          </w:p>
        </w:tc>
        <w:tc>
          <w:tcPr>
            <w:tcW w:w="40" w:type="dxa"/>
            <w:vAlign w:val="bottom"/>
          </w:tcPr>
          <w:p>
            <w:pPr>
              <w:spacing w:after="0"/>
              <w:rPr>
                <w:sz w:val="12"/>
                <w:szCs w:val="12"/>
                <w:color w:val="auto"/>
              </w:rPr>
            </w:pPr>
          </w:p>
        </w:tc>
        <w:tc>
          <w:tcPr>
            <w:tcW w:w="980" w:type="dxa"/>
            <w:vAlign w:val="bottom"/>
            <w:tcBorders>
              <w:top w:val="single" w:sz="8" w:color="CCEEFF"/>
            </w:tcBorders>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4.05</w:t>
            </w:r>
          </w:p>
        </w:tc>
        <w:tc>
          <w:tcPr>
            <w:tcW w:w="18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(76,726)</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(64,896)</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214,752</w:t>
            </w: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218,797</w:t>
            </w:r>
          </w:p>
        </w:tc>
        <w:tc>
          <w:tcPr>
            <w:tcW w:w="20" w:type="dxa"/>
            <w:vAlign w:val="bottom"/>
            <w:tcBorders>
              <w:bottom w:val="single" w:sz="8" w:color="auto"/>
            </w:tcBorders>
          </w:tcPr>
          <w:p>
            <w:pPr>
              <w:spacing w:after="0"/>
              <w:rPr>
                <w:sz w:val="14"/>
                <w:szCs w:val="14"/>
                <w:color w:val="auto"/>
              </w:rPr>
            </w:pPr>
          </w:p>
        </w:tc>
        <w:tc>
          <w:tcPr>
            <w:tcW w:w="100" w:type="dxa"/>
            <w:vAlign w:val="bottom"/>
            <w:tcBorders>
              <w:right w:val="single" w:sz="8" w:color="CCEEFF"/>
            </w:tcBorders>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5,625,504</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5,302,970</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940" w:type="dxa"/>
            <w:vAlign w:val="bottom"/>
            <w:gridSpan w:val="2"/>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40" w:type="dxa"/>
            <w:vAlign w:val="bottom"/>
            <w:gridSpan w:val="2"/>
          </w:tcPr>
          <w:p>
            <w:pPr>
              <w:spacing w:after="0"/>
              <w:rPr>
                <w:sz w:val="11"/>
                <w:szCs w:val="11"/>
                <w:color w:val="auto"/>
              </w:rPr>
            </w:pPr>
          </w:p>
        </w:tc>
        <w:tc>
          <w:tcPr>
            <w:tcW w:w="1240" w:type="dxa"/>
            <w:vAlign w:val="bottom"/>
            <w:tcBorders>
              <w:top w:val="single" w:sz="8" w:color="CCEEFF"/>
              <w:bottom w:val="single" w:sz="8" w:color="CCEEFF"/>
              <w:right w:val="single" w:sz="8" w:color="CCEEFF"/>
            </w:tcBorders>
            <w:gridSpan w:val="5"/>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right w:val="single" w:sz="8" w:color="CCEEFF"/>
            </w:tcBorders>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160" w:type="dxa"/>
            <w:vAlign w:val="bottom"/>
            <w:gridSpan w:val="3"/>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629,959</w:t>
            </w:r>
          </w:p>
        </w:tc>
        <w:tc>
          <w:tcPr>
            <w:tcW w:w="8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936</w:t>
            </w:r>
          </w:p>
        </w:tc>
        <w:tc>
          <w:tcPr>
            <w:tcW w:w="1240" w:type="dxa"/>
            <w:vAlign w:val="bottom"/>
            <w:gridSpan w:val="5"/>
          </w:tcPr>
          <w:p>
            <w:pPr>
              <w:jc w:val="right"/>
              <w:ind w:right="29"/>
              <w:spacing w:after="0"/>
              <w:rPr>
                <w:sz w:val="20"/>
                <w:szCs w:val="20"/>
                <w:color w:val="auto"/>
              </w:rPr>
            </w:pPr>
            <w:r>
              <w:rPr>
                <w:rFonts w:ascii="Arial" w:cs="Arial" w:eastAsia="Arial" w:hAnsi="Arial"/>
                <w:sz w:val="14"/>
                <w:szCs w:val="14"/>
                <w:color w:val="auto"/>
              </w:rPr>
              <w:t>0.20 %</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404,967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1,391</w:t>
            </w: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0.46 %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2,360,559</w:t>
            </w: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6,402</w:t>
            </w:r>
          </w:p>
        </w:tc>
        <w:tc>
          <w:tcPr>
            <w:tcW w:w="40" w:type="dxa"/>
            <w:vAlign w:val="bottom"/>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40" w:type="dxa"/>
            <w:vAlign w:val="bottom"/>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1,938,669</w:t>
            </w:r>
          </w:p>
        </w:tc>
        <w:tc>
          <w:tcPr>
            <w:tcW w:w="20" w:type="dxa"/>
            <w:vAlign w:val="bottom"/>
          </w:tcPr>
          <w:p>
            <w:pPr>
              <w:spacing w:after="0"/>
              <w:rPr>
                <w:sz w:val="13"/>
                <w:szCs w:val="13"/>
                <w:color w:val="auto"/>
              </w:rPr>
            </w:pPr>
          </w:p>
        </w:tc>
        <w:tc>
          <w:tcPr>
            <w:tcW w:w="100" w:type="dxa"/>
            <w:vAlign w:val="bottom"/>
            <w:tcBorders>
              <w:right w:val="single" w:sz="8" w:color="CCEEFF"/>
            </w:tcBorders>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11,689</w:t>
            </w:r>
          </w:p>
        </w:tc>
        <w:tc>
          <w:tcPr>
            <w:tcW w:w="40" w:type="dxa"/>
            <w:vAlign w:val="bottom"/>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863,592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7,451</w:t>
            </w:r>
          </w:p>
        </w:tc>
        <w:tc>
          <w:tcPr>
            <w:tcW w:w="1020" w:type="dxa"/>
            <w:vAlign w:val="bottom"/>
            <w:gridSpan w:val="4"/>
          </w:tcPr>
          <w:p>
            <w:pPr>
              <w:jc w:val="right"/>
              <w:ind w:right="40"/>
              <w:spacing w:after="0"/>
              <w:rPr>
                <w:sz w:val="20"/>
                <w:szCs w:val="20"/>
                <w:color w:val="auto"/>
              </w:rPr>
            </w:pPr>
            <w:r>
              <w:rPr>
                <w:rFonts w:ascii="Arial" w:cs="Arial" w:eastAsia="Arial" w:hAnsi="Arial"/>
                <w:sz w:val="14"/>
                <w:szCs w:val="14"/>
                <w:color w:val="auto"/>
              </w:rPr>
              <w:t>1.15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1,178,632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16,895</w:t>
            </w:r>
          </w:p>
        </w:tc>
        <w:tc>
          <w:tcPr>
            <w:tcW w:w="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1.91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vMerge w:val="restart"/>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0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3,854,110</w:t>
            </w:r>
          </w:p>
        </w:tc>
        <w:tc>
          <w:tcPr>
            <w:tcW w:w="4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14,789</w:t>
            </w:r>
          </w:p>
        </w:tc>
        <w:tc>
          <w:tcPr>
            <w:tcW w:w="40" w:type="dxa"/>
            <w:vAlign w:val="bottom"/>
          </w:tcPr>
          <w:p>
            <w:pPr>
              <w:spacing w:after="0"/>
              <w:rPr>
                <w:sz w:val="12"/>
                <w:szCs w:val="12"/>
                <w:color w:val="auto"/>
              </w:rPr>
            </w:pPr>
          </w:p>
        </w:tc>
        <w:tc>
          <w:tcPr>
            <w:tcW w:w="9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4"/>
                <w:szCs w:val="14"/>
                <w:color w:val="auto"/>
              </w:rPr>
              <w:t>0.51</w:t>
            </w:r>
          </w:p>
        </w:tc>
        <w:tc>
          <w:tcPr>
            <w:tcW w:w="40" w:type="dxa"/>
            <w:vAlign w:val="bottom"/>
            <w:vMerge w:val="continue"/>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3,522,268</w:t>
            </w:r>
          </w:p>
        </w:tc>
        <w:tc>
          <w:tcPr>
            <w:tcW w:w="20" w:type="dxa"/>
            <w:vAlign w:val="bottom"/>
          </w:tcPr>
          <w:p>
            <w:pPr>
              <w:spacing w:after="0"/>
              <w:rPr>
                <w:sz w:val="12"/>
                <w:szCs w:val="12"/>
                <w:color w:val="auto"/>
              </w:rPr>
            </w:pPr>
          </w:p>
        </w:tc>
        <w:tc>
          <w:tcPr>
            <w:tcW w:w="100" w:type="dxa"/>
            <w:vAlign w:val="bottom"/>
            <w:tcBorders>
              <w:right w:val="single" w:sz="8" w:color="CCEEFF"/>
            </w:tcBorders>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29,975</w:t>
            </w:r>
          </w:p>
        </w:tc>
        <w:tc>
          <w:tcPr>
            <w:tcW w:w="40" w:type="dxa"/>
            <w:vAlign w:val="bottom"/>
          </w:tcPr>
          <w:p>
            <w:pPr>
              <w:spacing w:after="0"/>
              <w:rPr>
                <w:sz w:val="12"/>
                <w:szCs w:val="12"/>
                <w:color w:val="auto"/>
              </w:rPr>
            </w:pPr>
          </w:p>
        </w:tc>
        <w:tc>
          <w:tcPr>
            <w:tcW w:w="9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1.14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285,371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3,841</w:t>
            </w:r>
          </w:p>
        </w:tc>
        <w:tc>
          <w:tcPr>
            <w:tcW w:w="1020" w:type="dxa"/>
            <w:vAlign w:val="bottom"/>
            <w:gridSpan w:val="4"/>
          </w:tcPr>
          <w:p>
            <w:pPr>
              <w:jc w:val="right"/>
              <w:ind w:right="40"/>
              <w:spacing w:after="0"/>
              <w:rPr>
                <w:sz w:val="20"/>
                <w:szCs w:val="20"/>
                <w:color w:val="auto"/>
              </w:rPr>
            </w:pPr>
            <w:r>
              <w:rPr>
                <w:rFonts w:ascii="Arial" w:cs="Arial" w:eastAsia="Arial" w:hAnsi="Arial"/>
                <w:sz w:val="14"/>
                <w:szCs w:val="14"/>
                <w:color w:val="auto"/>
              </w:rPr>
              <w:t>1.80</w:t>
            </w:r>
          </w:p>
        </w:tc>
        <w:tc>
          <w:tcPr>
            <w:tcW w:w="220" w:type="dxa"/>
            <w:vAlign w:val="bottom"/>
            <w:tcBorders>
              <w:bottom w:val="single" w:sz="8" w:color="CCEEFF"/>
            </w:tcBorders>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456,048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5,145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1.51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w:t>
            </w:r>
          </w:p>
        </w:tc>
        <w:tc>
          <w:tcPr>
            <w:tcW w:w="40" w:type="dxa"/>
            <w:vAlign w:val="bottom"/>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w:t>
            </w:r>
          </w:p>
        </w:tc>
        <w:tc>
          <w:tcPr>
            <w:tcW w:w="20" w:type="dxa"/>
            <w:vAlign w:val="bottom"/>
          </w:tcPr>
          <w:p>
            <w:pPr>
              <w:spacing w:after="0"/>
              <w:rPr>
                <w:sz w:val="13"/>
                <w:szCs w:val="13"/>
                <w:color w:val="auto"/>
              </w:rPr>
            </w:pPr>
          </w:p>
        </w:tc>
        <w:tc>
          <w:tcPr>
            <w:tcW w:w="100" w:type="dxa"/>
            <w:vAlign w:val="bottom"/>
            <w:tcBorders>
              <w:right w:val="single" w:sz="8" w:color="CCEEFF"/>
            </w:tcBorders>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814,924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668,208</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4,955,381</w:t>
            </w: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18,702</w:t>
            </w:r>
          </w:p>
        </w:tc>
        <w:tc>
          <w:tcPr>
            <w:tcW w:w="40" w:type="dxa"/>
            <w:vAlign w:val="bottom"/>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40" w:type="dxa"/>
            <w:vAlign w:val="bottom"/>
          </w:tcPr>
          <w:p>
            <w:pPr>
              <w:spacing w:after="0"/>
              <w:rPr>
                <w:sz w:val="14"/>
                <w:szCs w:val="14"/>
                <w:color w:val="auto"/>
              </w:rPr>
            </w:pPr>
          </w:p>
        </w:tc>
        <w:tc>
          <w:tcPr>
            <w:tcW w:w="2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4,647,457</w:t>
            </w:r>
          </w:p>
        </w:tc>
        <w:tc>
          <w:tcPr>
            <w:tcW w:w="20" w:type="dxa"/>
            <w:vAlign w:val="bottom"/>
          </w:tcPr>
          <w:p>
            <w:pPr>
              <w:spacing w:after="0"/>
              <w:rPr>
                <w:sz w:val="14"/>
                <w:szCs w:val="14"/>
                <w:color w:val="auto"/>
              </w:rPr>
            </w:pPr>
          </w:p>
        </w:tc>
        <w:tc>
          <w:tcPr>
            <w:tcW w:w="100" w:type="dxa"/>
            <w:vAlign w:val="bottom"/>
            <w:tcBorders>
              <w:right w:val="single" w:sz="8" w:color="CCEEFF"/>
            </w:tcBorders>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35,202</w:t>
            </w:r>
          </w:p>
        </w:tc>
        <w:tc>
          <w:tcPr>
            <w:tcW w:w="40" w:type="dxa"/>
            <w:vAlign w:val="bottom"/>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00" w:type="dxa"/>
            <w:vAlign w:val="bottom"/>
          </w:tcPr>
          <w:p>
            <w:pPr>
              <w:jc w:val="right"/>
              <w:spacing w:after="0"/>
              <w:rPr>
                <w:sz w:val="20"/>
                <w:szCs w:val="20"/>
                <w:color w:val="auto"/>
              </w:rPr>
            </w:pPr>
            <w:r>
              <w:rPr>
                <w:rFonts w:ascii="Arial" w:cs="Arial" w:eastAsia="Arial" w:hAnsi="Arial"/>
                <w:sz w:val="14"/>
                <w:szCs w:val="14"/>
                <w:color w:val="auto"/>
              </w:rPr>
              <w:t>35,385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42,731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3">
            <w:col w:w="3440" w:space="40"/>
            <w:col w:w="80" w:space="140"/>
            <w:col w:w="6800"/>
          </w:cols>
          <w:pgMar w:left="780" w:top="406" w:right="619" w:bottom="1440" w:gutter="0" w:footer="0" w:header="0"/>
          <w:type w:val="continuous"/>
        </w:sectPr>
      </w:pPr>
    </w:p>
    <w:tbl>
      <w:tblPr>
        <w:tblLayout w:type="fixed"/>
        <w:tblInd w:w="120" w:type="dxa"/>
        <w:tblCellMar>
          <w:top w:w="0" w:type="dxa"/>
          <w:left w:w="0" w:type="dxa"/>
          <w:bottom w:w="0" w:type="dxa"/>
          <w:right w:w="0" w:type="dxa"/>
        </w:tblCellMar>
      </w:tblPr>
      <w:tr>
        <w:trPr>
          <w:trHeight w:val="161"/>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Stockholders’ equity</w:t>
            </w:r>
          </w:p>
        </w:tc>
        <w:tc>
          <w:tcPr>
            <w:tcW w:w="5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634,738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612,782</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5,625,504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gridSpan w:val="6"/>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5,302,970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28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Net interest income - tax-equivalent</w:t>
            </w:r>
            <w:r>
              <w:rPr>
                <w:rFonts w:ascii="Arial" w:cs="Arial" w:eastAsia="Arial" w:hAnsi="Arial"/>
                <w:sz w:val="15"/>
                <w:szCs w:val="15"/>
                <w:color w:val="auto"/>
                <w:vertAlign w:val="superscript"/>
              </w:rPr>
              <w:t>(1)</w:t>
            </w:r>
          </w:p>
        </w:tc>
        <w:tc>
          <w:tcPr>
            <w:tcW w:w="5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127,432</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900" w:type="dxa"/>
            <w:vAlign w:val="bottom"/>
            <w:tcBorders>
              <w:top w:val="single" w:sz="8" w:color="CCEEFF"/>
              <w:bottom w:val="single" w:sz="8" w:color="auto"/>
            </w:tcBorders>
            <w:shd w:val="clear" w:color="auto" w:fill="CCEEFF"/>
          </w:tcPr>
          <w:p>
            <w:pPr>
              <w:spacing w:after="0"/>
              <w:rPr>
                <w:sz w:val="11"/>
                <w:szCs w:val="11"/>
                <w:color w:val="auto"/>
              </w:rPr>
            </w:pPr>
          </w:p>
        </w:tc>
        <w:tc>
          <w:tcPr>
            <w:tcW w:w="180" w:type="dxa"/>
            <w:vAlign w:val="bottom"/>
            <w:tcBorders>
              <w:top w:val="single" w:sz="8" w:color="CCEEFF"/>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gridSpan w:val="2"/>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120,762</w:t>
            </w: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bottom w:val="single" w:sz="8" w:color="auto"/>
            </w:tcBorders>
            <w:shd w:val="clear" w:color="auto" w:fill="CCEEFF"/>
          </w:tcPr>
          <w:p>
            <w:pPr>
              <w:spacing w:after="0"/>
              <w:rPr>
                <w:sz w:val="11"/>
                <w:szCs w:val="11"/>
                <w:color w:val="auto"/>
              </w:rPr>
            </w:pPr>
          </w:p>
        </w:tc>
        <w:tc>
          <w:tcPr>
            <w:tcW w:w="18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line="194" w:lineRule="exact"/>
              <w:rPr>
                <w:sz w:val="20"/>
                <w:szCs w:val="20"/>
                <w:color w:val="auto"/>
              </w:rPr>
            </w:pPr>
            <w:r>
              <w:rPr>
                <w:rFonts w:ascii="Arial" w:cs="Arial" w:eastAsia="Arial" w:hAnsi="Arial"/>
                <w:sz w:val="14"/>
                <w:szCs w:val="14"/>
                <w:color w:val="auto"/>
              </w:rPr>
              <w:t>Net interest spread - tax-equivalent</w:t>
            </w:r>
            <w:r>
              <w:rPr>
                <w:rFonts w:ascii="Arial" w:cs="Arial" w:eastAsia="Arial" w:hAnsi="Arial"/>
                <w:sz w:val="18"/>
                <w:szCs w:val="18"/>
                <w:color w:val="auto"/>
                <w:vertAlign w:val="superscript"/>
              </w:rPr>
              <w:t>(1)</w:t>
            </w: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color w:val="auto"/>
              </w:rPr>
              <w:t>3.06 %</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2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3.04</w:t>
            </w:r>
          </w:p>
        </w:tc>
        <w:tc>
          <w:tcPr>
            <w:tcW w:w="1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Net interest margin - tax-equivalent</w:t>
            </w:r>
            <w:r>
              <w:rPr>
                <w:rFonts w:ascii="Arial" w:cs="Arial" w:eastAsia="Arial" w:hAnsi="Arial"/>
                <w:sz w:val="17"/>
                <w:szCs w:val="17"/>
                <w:color w:val="auto"/>
                <w:vertAlign w:val="superscript"/>
              </w:rPr>
              <w:t>(1)</w:t>
            </w: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spacing w:after="0"/>
              <w:rPr>
                <w:sz w:val="13"/>
                <w:szCs w:val="13"/>
                <w:color w:val="auto"/>
              </w:rPr>
            </w:pPr>
          </w:p>
        </w:tc>
        <w:tc>
          <w:tcPr>
            <w:tcW w:w="9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3.10</w:t>
            </w:r>
          </w:p>
        </w:tc>
        <w:tc>
          <w:tcPr>
            <w:tcW w:w="1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3.13</w:t>
            </w:r>
          </w:p>
        </w:tc>
        <w:tc>
          <w:tcPr>
            <w:tcW w:w="1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left="360" w:hanging="237"/>
        <w:spacing w:after="0"/>
        <w:tabs>
          <w:tab w:leader="none" w:pos="360" w:val="left"/>
        </w:tabs>
        <w:numPr>
          <w:ilvl w:val="0"/>
          <w:numId w:val="12"/>
        </w:numPr>
        <w:rPr>
          <w:rFonts w:ascii="Arial" w:cs="Arial" w:eastAsia="Arial" w:hAnsi="Arial"/>
          <w:sz w:val="18"/>
          <w:szCs w:val="18"/>
          <w:color w:val="auto"/>
          <w:vertAlign w:val="superscript"/>
        </w:rPr>
      </w:pPr>
      <w:r>
        <w:rPr>
          <w:rFonts w:ascii="Arial" w:cs="Arial" w:eastAsia="Arial" w:hAnsi="Arial"/>
          <w:sz w:val="13"/>
          <w:szCs w:val="13"/>
          <w:color w:val="auto"/>
        </w:rPr>
        <w:t>Tax exempt income is calculated on a tax equivalent basis. Tax-free municipal securities are exempt from Federal income taxes. The incremental tax rate used is 21.0%.</w:t>
      </w:r>
    </w:p>
    <w:p>
      <w:pPr>
        <w:spacing w:after="0" w:line="29" w:lineRule="exact"/>
        <w:rPr>
          <w:rFonts w:ascii="Arial" w:cs="Arial" w:eastAsia="Arial" w:hAnsi="Arial"/>
          <w:sz w:val="18"/>
          <w:szCs w:val="18"/>
          <w:color w:val="auto"/>
          <w:vertAlign w:val="superscript"/>
        </w:rPr>
      </w:pPr>
    </w:p>
    <w:p>
      <w:pPr>
        <w:ind w:left="360" w:hanging="237"/>
        <w:spacing w:after="0" w:line="186" w:lineRule="auto"/>
        <w:tabs>
          <w:tab w:leader="none" w:pos="360" w:val="left"/>
        </w:tabs>
        <w:numPr>
          <w:ilvl w:val="0"/>
          <w:numId w:val="12"/>
        </w:numPr>
        <w:rPr>
          <w:rFonts w:ascii="Arial" w:cs="Arial" w:eastAsia="Arial" w:hAnsi="Arial"/>
          <w:sz w:val="17"/>
          <w:szCs w:val="17"/>
          <w:color w:val="auto"/>
          <w:vertAlign w:val="superscript"/>
        </w:rPr>
      </w:pPr>
      <w:r>
        <w:rPr>
          <w:rFonts w:ascii="Arial" w:cs="Arial" w:eastAsia="Arial" w:hAnsi="Arial"/>
          <w:sz w:val="12"/>
          <w:szCs w:val="12"/>
          <w:color w:val="auto"/>
        </w:rPr>
        <w:t>Loans, net of unearned income include non-accrual loans of $48 million and $76 million as of September 30, 2021 and 2020, respectively.</w:t>
      </w:r>
    </w:p>
    <w:p>
      <w:pPr>
        <w:spacing w:after="0" w:line="29" w:lineRule="exact"/>
        <w:rPr>
          <w:rFonts w:ascii="Arial" w:cs="Arial" w:eastAsia="Arial" w:hAnsi="Arial"/>
          <w:sz w:val="17"/>
          <w:szCs w:val="17"/>
          <w:color w:val="auto"/>
          <w:vertAlign w:val="superscript"/>
        </w:rPr>
      </w:pPr>
    </w:p>
    <w:p>
      <w:pPr>
        <w:ind w:left="360" w:hanging="237"/>
        <w:spacing w:after="0" w:line="186" w:lineRule="auto"/>
        <w:tabs>
          <w:tab w:leader="none" w:pos="360" w:val="left"/>
        </w:tabs>
        <w:numPr>
          <w:ilvl w:val="0"/>
          <w:numId w:val="12"/>
        </w:numPr>
        <w:rPr>
          <w:rFonts w:ascii="Arial" w:cs="Arial" w:eastAsia="Arial" w:hAnsi="Arial"/>
          <w:sz w:val="17"/>
          <w:szCs w:val="17"/>
          <w:color w:val="auto"/>
          <w:vertAlign w:val="superscript"/>
        </w:rPr>
      </w:pPr>
      <w:r>
        <w:rPr>
          <w:rFonts w:ascii="Arial" w:cs="Arial" w:eastAsia="Arial" w:hAnsi="Arial"/>
          <w:sz w:val="12"/>
          <w:szCs w:val="12"/>
          <w:color w:val="auto"/>
        </w:rPr>
        <w:t>Loan interest income includes loan fees of $13 million and $10 million for the nine months ended September 30, 2021 and 2020, respectively.</w:t>
      </w:r>
    </w:p>
    <w:p>
      <w:pPr>
        <w:spacing w:after="0" w:line="29" w:lineRule="exact"/>
        <w:rPr>
          <w:rFonts w:ascii="Arial" w:cs="Arial" w:eastAsia="Arial" w:hAnsi="Arial"/>
          <w:sz w:val="17"/>
          <w:szCs w:val="17"/>
          <w:color w:val="auto"/>
          <w:vertAlign w:val="superscript"/>
        </w:rPr>
      </w:pPr>
    </w:p>
    <w:p>
      <w:pPr>
        <w:ind w:left="360" w:hanging="237"/>
        <w:spacing w:after="0" w:line="211" w:lineRule="auto"/>
        <w:tabs>
          <w:tab w:leader="none" w:pos="360" w:val="left"/>
        </w:tabs>
        <w:numPr>
          <w:ilvl w:val="0"/>
          <w:numId w:val="12"/>
        </w:numPr>
        <w:rPr>
          <w:rFonts w:ascii="Arial" w:cs="Arial" w:eastAsia="Arial" w:hAnsi="Arial"/>
          <w:sz w:val="15"/>
          <w:szCs w:val="15"/>
          <w:color w:val="auto"/>
          <w:vertAlign w:val="superscript"/>
        </w:rPr>
      </w:pPr>
      <w:r>
        <w:rPr>
          <w:rFonts w:ascii="Arial" w:cs="Arial" w:eastAsia="Arial" w:hAnsi="Arial"/>
          <w:sz w:val="11"/>
          <w:szCs w:val="11"/>
          <w:color w:val="auto"/>
        </w:rPr>
        <w:t>Actual unrounded values are used to calculate the reported yield or rate. Accordingly, recalculations using the amounts in thousands as disclosed in this report may not produce the same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0500"/>
          </w:cols>
          <w:pgMar w:left="780" w:top="406" w:right="61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jc w:val="both"/>
        <w:ind w:left="140" w:right="80" w:firstLine="384"/>
        <w:spacing w:after="0" w:line="300" w:lineRule="auto"/>
        <w:rPr>
          <w:sz w:val="20"/>
          <w:szCs w:val="20"/>
          <w:color w:val="auto"/>
        </w:rPr>
      </w:pPr>
      <w:r>
        <w:rPr>
          <w:rFonts w:ascii="Arial" w:cs="Arial" w:eastAsia="Arial" w:hAnsi="Arial"/>
          <w:sz w:val="14"/>
          <w:szCs w:val="14"/>
          <w:color w:val="auto"/>
        </w:rPr>
        <w:t>Changes in interest income and interest expense result from changes in average balances (volume) of interest earning assets and interest-bearing liabilities, as well as changes in average interest rates. The following table sets forth the effects of changing rates and volumes on our net interest income during the periods shown. Information is provided with respect to: (i) changes in volume (change in volume times old rate); (ii) changes in rates (change in rate times old volume); and (iii) changes in rate/volume (change in rate times the change in volume).</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6"/>
          </w:tcPr>
          <w:p>
            <w:pPr>
              <w:jc w:val="center"/>
              <w:ind w:left="809"/>
              <w:spacing w:after="0"/>
              <w:rPr>
                <w:sz w:val="20"/>
                <w:szCs w:val="20"/>
                <w:color w:val="auto"/>
              </w:rPr>
            </w:pPr>
            <w:r>
              <w:rPr>
                <w:rFonts w:ascii="Arial" w:cs="Arial" w:eastAsia="Arial" w:hAnsi="Arial"/>
                <w:sz w:val="14"/>
                <w:szCs w:val="14"/>
                <w:b w:val="1"/>
                <w:bCs w:val="1"/>
                <w:color w:val="auto"/>
                <w:w w:val="94"/>
              </w:rPr>
              <w:t>For the Quarter Ended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20" w:type="dxa"/>
            <w:vAlign w:val="bottom"/>
            <w:gridSpan w:val="8"/>
          </w:tcPr>
          <w:p>
            <w:pPr>
              <w:jc w:val="center"/>
              <w:ind w:right="600"/>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7"/>
          </w:tcPr>
          <w:p>
            <w:pPr>
              <w:jc w:val="center"/>
              <w:ind w:right="29"/>
              <w:spacing w:after="0"/>
              <w:rPr>
                <w:sz w:val="20"/>
                <w:szCs w:val="20"/>
                <w:color w:val="auto"/>
              </w:rPr>
            </w:pPr>
            <w:r>
              <w:rPr>
                <w:rFonts w:ascii="Arial" w:cs="Arial" w:eastAsia="Arial" w:hAnsi="Arial"/>
                <w:sz w:val="14"/>
                <w:szCs w:val="14"/>
                <w:b w:val="1"/>
                <w:bCs w:val="1"/>
                <w:color w:val="auto"/>
                <w:w w:val="90"/>
              </w:rPr>
              <w:t>September 30, 2021 over 2020</w:t>
            </w: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center"/>
              <w:ind w:right="509"/>
              <w:spacing w:after="0"/>
              <w:rPr>
                <w:sz w:val="20"/>
                <w:szCs w:val="20"/>
                <w:color w:val="auto"/>
              </w:rPr>
            </w:pPr>
            <w:r>
              <w:rPr>
                <w:rFonts w:ascii="Arial" w:cs="Arial" w:eastAsia="Arial" w:hAnsi="Arial"/>
                <w:sz w:val="14"/>
                <w:szCs w:val="14"/>
                <w:b w:val="1"/>
                <w:bCs w:val="1"/>
                <w:color w:val="auto"/>
                <w:w w:val="91"/>
              </w:rPr>
              <w:t>September 30, 2021 over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Average Volume</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7"/>
              </w:rPr>
              <w:t>Yield/Rate</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88"/>
              </w:rPr>
              <w:t>Net Change</w:t>
            </w:r>
            <w:r>
              <w:rPr>
                <w:rFonts w:ascii="Arial" w:cs="Arial" w:eastAsia="Arial" w:hAnsi="Arial"/>
                <w:sz w:val="18"/>
                <w:szCs w:val="18"/>
                <w:b w:val="1"/>
                <w:bCs w:val="1"/>
                <w:color w:val="auto"/>
                <w:w w:val="88"/>
                <w:vertAlign w:val="superscript"/>
              </w:rPr>
              <w:t>(2)</w:t>
            </w:r>
          </w:p>
        </w:tc>
        <w:tc>
          <w:tcPr>
            <w:tcW w:w="80" w:type="dxa"/>
            <w:vAlign w:val="bottom"/>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Average Volume</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4"/>
              </w:rPr>
              <w:t>Yield/Rate</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0"/>
              </w:rPr>
              <w:t>Net Change</w:t>
            </w:r>
            <w:r>
              <w:rPr>
                <w:rFonts w:ascii="Arial" w:cs="Arial" w:eastAsia="Arial" w:hAnsi="Arial"/>
                <w:sz w:val="18"/>
                <w:szCs w:val="18"/>
                <w:b w:val="1"/>
                <w:bCs w:val="1"/>
                <w:color w:val="auto"/>
                <w:w w:val="90"/>
                <w:vertAlign w:val="superscript"/>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jc w:val="right"/>
              <w:ind w:right="4"/>
              <w:spacing w:after="0"/>
              <w:rPr>
                <w:sz w:val="20"/>
                <w:szCs w:val="20"/>
                <w:color w:val="auto"/>
              </w:rPr>
            </w:pPr>
            <w:r>
              <w:rPr>
                <w:rFonts w:ascii="Arial" w:cs="Arial" w:eastAsia="Arial" w:hAnsi="Arial"/>
                <w:sz w:val="13"/>
                <w:szCs w:val="13"/>
                <w:i w:val="1"/>
                <w:iCs w:val="1"/>
                <w:color w:val="auto"/>
              </w:rPr>
              <w:t>(Dollars in thousands)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20" w:type="dxa"/>
            <w:vAlign w:val="bottom"/>
            <w:tcBorders>
              <w:lef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tcBorders>
              <w:left w:val="single" w:sz="8" w:color="CCEEFF"/>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40" w:type="dxa"/>
            <w:vAlign w:val="bottom"/>
          </w:tcPr>
          <w:p>
            <w:pPr>
              <w:ind w:left="80"/>
              <w:spacing w:after="0"/>
              <w:rPr>
                <w:sz w:val="20"/>
                <w:szCs w:val="20"/>
                <w:color w:val="auto"/>
              </w:rPr>
            </w:pPr>
            <w:r>
              <w:rPr>
                <w:rFonts w:ascii="Arial" w:cs="Arial" w:eastAsia="Arial" w:hAnsi="Arial"/>
                <w:sz w:val="14"/>
                <w:szCs w:val="14"/>
                <w:color w:val="auto"/>
              </w:rPr>
              <w:t>Securities - taxable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(326)</w:t>
            </w:r>
          </w:p>
        </w:tc>
        <w:tc>
          <w:tcPr>
            <w:tcW w:w="680" w:type="dxa"/>
            <w:vAlign w:val="bottom"/>
            <w:gridSpan w:val="2"/>
          </w:tcPr>
          <w:p>
            <w:pPr>
              <w:jc w:val="right"/>
              <w:ind w:right="484"/>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(871)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(2,071)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40" w:type="dxa"/>
            <w:vAlign w:val="bottom"/>
            <w:tcBorders>
              <w:bottom w:val="single" w:sz="8" w:color="CCEEFF"/>
            </w:tcBorders>
            <w:shd w:val="clear" w:color="auto" w:fill="CCEEFF"/>
          </w:tcPr>
          <w:p>
            <w:pPr>
              <w:ind w:left="80"/>
              <w:spacing w:after="0" w:line="203" w:lineRule="exact"/>
              <w:rPr>
                <w:sz w:val="20"/>
                <w:szCs w:val="20"/>
                <w:color w:val="auto"/>
              </w:rPr>
            </w:pPr>
            <w:r>
              <w:rPr>
                <w:rFonts w:ascii="Arial" w:cs="Arial" w:eastAsia="Arial" w:hAnsi="Arial"/>
                <w:sz w:val="14"/>
                <w:szCs w:val="14"/>
                <w:color w:val="auto"/>
              </w:rPr>
              <w:t>Securities - tax-exempt</w:t>
            </w:r>
            <w:r>
              <w:rPr>
                <w:rFonts w:ascii="Arial" w:cs="Arial" w:eastAsia="Arial" w:hAnsi="Arial"/>
                <w:sz w:val="18"/>
                <w:szCs w:val="18"/>
                <w:color w:val="auto"/>
                <w:vertAlign w:val="superscript"/>
              </w:rPr>
              <w:t>(1)</w:t>
            </w:r>
          </w:p>
        </w:tc>
        <w:tc>
          <w:tcPr>
            <w:tcW w:w="120" w:type="dxa"/>
            <w:vAlign w:val="bottom"/>
            <w:tcBorders>
              <w:left w:val="single" w:sz="8" w:color="CCEEFF"/>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left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80" w:type="dxa"/>
            <w:vAlign w:val="bottom"/>
            <w:tcBorders>
              <w:left w:val="single" w:sz="8" w:color="CCEEFF"/>
              <w:bottom w:val="single" w:sz="8" w:color="CCEEFF"/>
              <w:right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80" w:type="dxa"/>
            <w:vAlign w:val="bottom"/>
            <w:tcBorders>
              <w:left w:val="single" w:sz="8" w:color="CCEEFF"/>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40" w:type="dxa"/>
            <w:vAlign w:val="bottom"/>
          </w:tcPr>
          <w:p>
            <w:pPr>
              <w:ind w:left="80"/>
              <w:spacing w:after="0"/>
              <w:rPr>
                <w:sz w:val="20"/>
                <w:szCs w:val="20"/>
                <w:color w:val="auto"/>
              </w:rPr>
            </w:pPr>
            <w:r>
              <w:rPr>
                <w:rFonts w:ascii="Arial" w:cs="Arial" w:eastAsia="Arial" w:hAnsi="Arial"/>
                <w:sz w:val="14"/>
                <w:szCs w:val="14"/>
                <w:color w:val="auto"/>
              </w:rPr>
              <w:t>Federal funds sold</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Interest-bearing deposits in other banks</w:t>
            </w:r>
          </w:p>
        </w:tc>
        <w:tc>
          <w:tcPr>
            <w:tcW w:w="120" w:type="dxa"/>
            <w:vAlign w:val="bottom"/>
            <w:tcBorders>
              <w:left w:val="single" w:sz="8" w:color="CCEEFF"/>
            </w:tcBorders>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40" w:type="dxa"/>
            <w:vAlign w:val="bottom"/>
          </w:tcPr>
          <w:p>
            <w:pPr>
              <w:ind w:left="80"/>
              <w:spacing w:after="0"/>
              <w:rPr>
                <w:sz w:val="20"/>
                <w:szCs w:val="20"/>
                <w:color w:val="auto"/>
              </w:rPr>
            </w:pPr>
            <w:r>
              <w:rPr>
                <w:rFonts w:ascii="Arial" w:cs="Arial" w:eastAsia="Arial" w:hAnsi="Arial"/>
                <w:sz w:val="14"/>
                <w:szCs w:val="14"/>
                <w:color w:val="auto"/>
              </w:rPr>
              <w:t>Gross loans, net of unearned income</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4,176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(8,323)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interest income</w:t>
            </w:r>
            <w:r>
              <w:rPr>
                <w:rFonts w:ascii="Arial" w:cs="Arial" w:eastAsia="Arial" w:hAnsi="Arial"/>
                <w:sz w:val="18"/>
                <w:szCs w:val="18"/>
                <w:color w:val="auto"/>
                <w:vertAlign w:val="superscript"/>
              </w:rPr>
              <w:t>(1)</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w:t>
            </w: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ind w:right="484"/>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(14,805)</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Transaction deposits</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jc w:val="right"/>
              <w:ind w:right="484"/>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40" w:type="dxa"/>
            <w:vAlign w:val="bottom"/>
          </w:tcPr>
          <w:p>
            <w:pPr>
              <w:ind w:left="80"/>
              <w:spacing w:after="0"/>
              <w:rPr>
                <w:sz w:val="20"/>
                <w:szCs w:val="20"/>
                <w:color w:val="auto"/>
              </w:rPr>
            </w:pPr>
            <w:r>
              <w:rPr>
                <w:rFonts w:ascii="Arial" w:cs="Arial" w:eastAsia="Arial" w:hAnsi="Arial"/>
                <w:sz w:val="14"/>
                <w:szCs w:val="14"/>
                <w:color w:val="auto"/>
              </w:rPr>
              <w:t>Savings and money market deposits</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(5,287)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Time deposits</w:t>
            </w:r>
          </w:p>
        </w:tc>
        <w:tc>
          <w:tcPr>
            <w:tcW w:w="120" w:type="dxa"/>
            <w:vAlign w:val="bottom"/>
            <w:tcBorders>
              <w:left w:val="single" w:sz="8" w:color="CCEEFF"/>
            </w:tcBorders>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(2,692)</w:t>
            </w: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(5,649)</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tcPr>
          <w:p>
            <w:pPr>
              <w:ind w:left="80"/>
              <w:spacing w:after="0"/>
              <w:rPr>
                <w:sz w:val="20"/>
                <w:szCs w:val="20"/>
                <w:color w:val="auto"/>
              </w:rPr>
            </w:pPr>
            <w:r>
              <w:rPr>
                <w:rFonts w:ascii="Arial" w:cs="Arial" w:eastAsia="Arial" w:hAnsi="Arial"/>
                <w:sz w:val="14"/>
                <w:szCs w:val="14"/>
                <w:color w:val="auto"/>
              </w:rPr>
              <w:t>Total interest-bearing deposits</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(3,087)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(15,186)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FHLB and short-term borrowings</w:t>
            </w:r>
          </w:p>
        </w:tc>
        <w:tc>
          <w:tcPr>
            <w:tcW w:w="120" w:type="dxa"/>
            <w:vAlign w:val="bottom"/>
            <w:tcBorders>
              <w:left w:val="single" w:sz="8" w:color="CCEEFF"/>
            </w:tcBorders>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8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Arial" w:cs="Arial" w:eastAsia="Arial" w:hAnsi="Arial"/>
                <w:sz w:val="14"/>
                <w:szCs w:val="14"/>
                <w:color w:val="auto"/>
                <w:w w:val="98"/>
              </w:rPr>
              <w:t>Trust preferred securities, net of fair value adjustments</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20" w:type="dxa"/>
            <w:vAlign w:val="bottom"/>
            <w:tcBorders>
              <w:top w:val="single" w:sz="8" w:color="auto"/>
              <w:left w:val="single" w:sz="8" w:color="CCEEFF"/>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344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Total interest expense</w:t>
            </w:r>
          </w:p>
        </w:tc>
        <w:tc>
          <w:tcPr>
            <w:tcW w:w="120" w:type="dxa"/>
            <w:vAlign w:val="bottom"/>
            <w:tcBorders>
              <w:left w:val="single" w:sz="8" w:color="CCEEFF"/>
            </w:tcBorders>
            <w:shd w:val="clear" w:color="auto" w:fill="CCEEFF"/>
          </w:tcPr>
          <w:p>
            <w:pPr>
              <w:spacing w:after="0"/>
              <w:rPr>
                <w:sz w:val="13"/>
                <w:szCs w:val="13"/>
                <w:color w:val="auto"/>
              </w:rPr>
            </w:pPr>
          </w:p>
        </w:tc>
        <w:tc>
          <w:tcPr>
            <w:tcW w:w="9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(1,946)</w:t>
            </w:r>
          </w:p>
        </w:tc>
        <w:tc>
          <w:tcPr>
            <w:tcW w:w="100" w:type="dxa"/>
            <w:vAlign w:val="bottom"/>
            <w:tcBorders>
              <w:left w:val="single" w:sz="8" w:color="CCEEFF"/>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(1,669)</w:t>
            </w: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(3,615)</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(3,220)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(13,280)</w:t>
            </w:r>
          </w:p>
        </w:tc>
        <w:tc>
          <w:tcPr>
            <w:tcW w:w="8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line="152" w:lineRule="exact"/>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vMerge w:val="restart"/>
          </w:tcPr>
          <w:p>
            <w:pPr>
              <w:ind w:left="80"/>
              <w:spacing w:after="0"/>
              <w:rPr>
                <w:sz w:val="20"/>
                <w:szCs w:val="20"/>
                <w:color w:val="auto"/>
              </w:rPr>
            </w:pPr>
            <w:r>
              <w:rPr>
                <w:rFonts w:ascii="Arial" w:cs="Arial" w:eastAsia="Arial" w:hAnsi="Arial"/>
                <w:sz w:val="14"/>
                <w:szCs w:val="14"/>
                <w:color w:val="auto"/>
              </w:rPr>
              <w:t>Net interest income</w:t>
            </w:r>
            <w:r>
              <w:rPr>
                <w:rFonts w:ascii="Arial" w:cs="Arial" w:eastAsia="Arial" w:hAnsi="Arial"/>
                <w:sz w:val="18"/>
                <w:szCs w:val="18"/>
                <w:color w:val="auto"/>
                <w:vertAlign w:val="superscript"/>
              </w:rPr>
              <w:t>(1)</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4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9"/>
                <w:szCs w:val="19"/>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2,484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2,553</w:t>
            </w:r>
          </w:p>
        </w:tc>
        <w:tc>
          <w:tcPr>
            <w:tcW w:w="80" w:type="dxa"/>
            <w:vAlign w:val="bottom"/>
          </w:tcPr>
          <w:p>
            <w:pPr>
              <w:spacing w:after="0"/>
              <w:rPr>
                <w:sz w:val="19"/>
                <w:szCs w:val="19"/>
                <w:color w:val="auto"/>
              </w:rPr>
            </w:pPr>
          </w:p>
        </w:tc>
        <w:tc>
          <w:tcPr>
            <w:tcW w:w="600" w:type="dxa"/>
            <w:vAlign w:val="bottom"/>
          </w:tcPr>
          <w:p>
            <w:pPr>
              <w:jc w:val="right"/>
              <w:ind w:right="484"/>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8,195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(1,525)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260" w:hanging="137"/>
        <w:spacing w:after="0"/>
        <w:tabs>
          <w:tab w:leader="none" w:pos="26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Tax exempt income is calculated on a tax equivalent basis. Tax-free municipal securities are exempt from Federal income taxes. The incremental tax rate used is 21.0%.</w:t>
      </w:r>
    </w:p>
    <w:p>
      <w:pPr>
        <w:spacing w:after="0" w:line="29" w:lineRule="exact"/>
        <w:rPr>
          <w:rFonts w:ascii="Arial" w:cs="Arial" w:eastAsia="Arial" w:hAnsi="Arial"/>
          <w:sz w:val="16"/>
          <w:szCs w:val="16"/>
          <w:color w:val="auto"/>
          <w:vertAlign w:val="superscript"/>
        </w:rPr>
      </w:pPr>
    </w:p>
    <w:p>
      <w:pPr>
        <w:ind w:left="260" w:hanging="137"/>
        <w:spacing w:after="0" w:line="198" w:lineRule="auto"/>
        <w:tabs>
          <w:tab w:leader="none" w:pos="26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The change in interest not due solely to volume or rate has been allocated in proportion to the respective absolute dollar amounts of the change in volume or rate.</w:t>
      </w:r>
    </w:p>
    <w:p>
      <w:pPr>
        <w:spacing w:after="0" w:line="139" w:lineRule="exact"/>
        <w:rPr>
          <w:sz w:val="20"/>
          <w:szCs w:val="20"/>
          <w:color w:val="auto"/>
        </w:rPr>
      </w:pPr>
    </w:p>
    <w:p>
      <w:pPr>
        <w:ind w:left="140" w:right="40"/>
        <w:spacing w:after="0" w:line="299" w:lineRule="auto"/>
        <w:rPr>
          <w:sz w:val="20"/>
          <w:szCs w:val="20"/>
          <w:color w:val="auto"/>
        </w:rPr>
      </w:pPr>
      <w:r>
        <w:rPr>
          <w:rFonts w:ascii="Arial" w:cs="Arial" w:eastAsia="Arial" w:hAnsi="Arial"/>
          <w:sz w:val="14"/>
          <w:szCs w:val="14"/>
          <w:b w:val="1"/>
          <w:bCs w:val="1"/>
          <w:u w:val="single" w:color="auto"/>
          <w:color w:val="auto"/>
        </w:rPr>
        <w:t>Interest income</w:t>
      </w:r>
      <w:r>
        <w:rPr>
          <w:rFonts w:ascii="Arial" w:cs="Arial" w:eastAsia="Arial" w:hAnsi="Arial"/>
          <w:sz w:val="14"/>
          <w:szCs w:val="14"/>
          <w:b w:val="1"/>
          <w:bCs w:val="1"/>
          <w:color w:val="auto"/>
        </w:rPr>
        <w:t xml:space="preserve"> - </w:t>
      </w:r>
      <w:r>
        <w:rPr>
          <w:rFonts w:ascii="Arial" w:cs="Arial" w:eastAsia="Arial" w:hAnsi="Arial"/>
          <w:sz w:val="14"/>
          <w:szCs w:val="14"/>
          <w:color w:val="auto"/>
        </w:rPr>
        <w:t>Interest income declined for the three- and nine-month periods ended September 30, 2021 compared to the same periods in 2020. For the three-month period</w:t>
      </w:r>
      <w:r>
        <w:rPr>
          <w:rFonts w:ascii="Arial" w:cs="Arial" w:eastAsia="Arial" w:hAnsi="Arial"/>
          <w:sz w:val="14"/>
          <w:szCs w:val="14"/>
          <w:b w:val="1"/>
          <w:bCs w:val="1"/>
          <w:color w:val="auto"/>
        </w:rPr>
        <w:t xml:space="preserve"> </w:t>
      </w:r>
      <w:r>
        <w:rPr>
          <w:rFonts w:ascii="Arial" w:cs="Arial" w:eastAsia="Arial" w:hAnsi="Arial"/>
          <w:sz w:val="14"/>
          <w:szCs w:val="14"/>
          <w:color w:val="auto"/>
        </w:rPr>
        <w:t>ended September 30, 2021 compared to the same period in 2020, the average loan balance declined $247 million or 6% resulting in lower interest income, offset by higher yields on loans, driven by a $907 thousand increase in loan fees that increased the current period loan yield 10 basis points compared to the same period in 2020. For the nine-month period ended September 30, 2021, lower yields on earning assets were driven by a decline in the interest rate environment. This decline in asset yields was partially offset by year-over-year loan growth and PPP loan income.</w:t>
      </w:r>
    </w:p>
    <w:p>
      <w:pPr>
        <w:spacing w:after="0" w:line="107" w:lineRule="exact"/>
        <w:rPr>
          <w:sz w:val="20"/>
          <w:szCs w:val="20"/>
          <w:color w:val="auto"/>
        </w:rPr>
      </w:pPr>
    </w:p>
    <w:p>
      <w:pPr>
        <w:ind w:left="140" w:right="80"/>
        <w:spacing w:after="0" w:line="255" w:lineRule="auto"/>
        <w:rPr>
          <w:sz w:val="20"/>
          <w:szCs w:val="20"/>
          <w:color w:val="auto"/>
        </w:rPr>
      </w:pPr>
      <w:r>
        <w:rPr>
          <w:rFonts w:ascii="Arial" w:cs="Arial" w:eastAsia="Arial" w:hAnsi="Arial"/>
          <w:sz w:val="14"/>
          <w:szCs w:val="14"/>
          <w:b w:val="1"/>
          <w:bCs w:val="1"/>
          <w:u w:val="single" w:color="auto"/>
          <w:color w:val="auto"/>
        </w:rPr>
        <w:t>Interest expense</w:t>
      </w:r>
      <w:r>
        <w:rPr>
          <w:rFonts w:ascii="Arial" w:cs="Arial" w:eastAsia="Arial" w:hAnsi="Arial"/>
          <w:sz w:val="14"/>
          <w:szCs w:val="14"/>
          <w:b w:val="1"/>
          <w:bCs w:val="1"/>
          <w:color w:val="auto"/>
        </w:rPr>
        <w:t xml:space="preserve"> </w:t>
      </w:r>
      <w:r>
        <w:rPr>
          <w:rFonts w:ascii="Arial" w:cs="Arial" w:eastAsia="Arial" w:hAnsi="Arial"/>
          <w:sz w:val="14"/>
          <w:szCs w:val="14"/>
          <w:color w:val="auto"/>
        </w:rPr>
        <w:t>- Interest expense declined for the three- and nine-month periods ended September 30, 2021 compared to the same periods in 2020. The cost of interest-bearing</w:t>
      </w:r>
      <w:r>
        <w:rPr>
          <w:rFonts w:ascii="Arial" w:cs="Arial" w:eastAsia="Arial" w:hAnsi="Arial"/>
          <w:sz w:val="14"/>
          <w:szCs w:val="14"/>
          <w:b w:val="1"/>
          <w:bCs w:val="1"/>
          <w:color w:val="auto"/>
        </w:rPr>
        <w:t xml:space="preserve"> </w:t>
      </w:r>
      <w:r>
        <w:rPr>
          <w:rFonts w:ascii="Arial" w:cs="Arial" w:eastAsia="Arial" w:hAnsi="Arial"/>
          <w:sz w:val="14"/>
          <w:szCs w:val="14"/>
          <w:color w:val="auto"/>
        </w:rPr>
        <w:t>deposits declined during the current periods due to strategic rate changes in our deposit products driven by the declining interest rate environment. For the three- and nine-month periods ended September 30, 2021 compared to the same periods in 2020, the average volume for interest-bearing deposits declined primarily because of time deposit maturities and current rates on time deposits.</w:t>
      </w: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500"/>
          </w:cols>
          <w:pgMar w:left="780" w:top="406" w:right="619" w:bottom="1440" w:gutter="0" w:footer="0" w:header="0"/>
        </w:sectPr>
      </w:pPr>
    </w:p>
    <w:bookmarkStart w:id="44" w:name="page45"/>
    <w:bookmarkEnd w:id="44"/>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jc w:val="both"/>
        <w:ind w:left="140" w:right="300" w:firstLine="384"/>
        <w:spacing w:after="0" w:line="253" w:lineRule="auto"/>
        <w:rPr>
          <w:sz w:val="20"/>
          <w:szCs w:val="20"/>
          <w:color w:val="auto"/>
        </w:rPr>
      </w:pPr>
      <w:r>
        <w:rPr>
          <w:rFonts w:ascii="Arial" w:cs="Arial" w:eastAsia="Arial" w:hAnsi="Arial"/>
          <w:sz w:val="14"/>
          <w:szCs w:val="14"/>
          <w:color w:val="auto"/>
        </w:rPr>
        <w:t>Average FHLB and other borrowings declined for the three- and nine-month periods ended September 30, 2021 compared to the same periods in 2020, as the Company’s increase in cash offset the need to renew or increase these borrowings. The increase in the cost of FHLB borrowings was the result of short-term duration borrowings with lower rates that matured in 2020 and were not renewed.</w:t>
      </w:r>
    </w:p>
    <w:p>
      <w:pPr>
        <w:spacing w:after="0" w:line="202" w:lineRule="exact"/>
        <w:rPr>
          <w:sz w:val="20"/>
          <w:szCs w:val="20"/>
          <w:color w:val="auto"/>
        </w:rPr>
      </w:pPr>
    </w:p>
    <w:p>
      <w:pPr>
        <w:ind w:left="140" w:right="300"/>
        <w:spacing w:after="0" w:line="304" w:lineRule="auto"/>
        <w:rPr>
          <w:sz w:val="20"/>
          <w:szCs w:val="20"/>
          <w:color w:val="auto"/>
        </w:rPr>
      </w:pPr>
      <w:r>
        <w:rPr>
          <w:rFonts w:ascii="Arial" w:cs="Arial" w:eastAsia="Arial" w:hAnsi="Arial"/>
          <w:sz w:val="14"/>
          <w:szCs w:val="14"/>
          <w:b w:val="1"/>
          <w:bCs w:val="1"/>
          <w:u w:val="single" w:color="auto"/>
          <w:color w:val="auto"/>
        </w:rPr>
        <w:t>Net interest income</w:t>
      </w:r>
      <w:r>
        <w:rPr>
          <w:rFonts w:ascii="Arial" w:cs="Arial" w:eastAsia="Arial" w:hAnsi="Arial"/>
          <w:sz w:val="14"/>
          <w:szCs w:val="14"/>
          <w:b w:val="1"/>
          <w:bCs w:val="1"/>
          <w:color w:val="auto"/>
        </w:rPr>
        <w:t xml:space="preserve"> </w:t>
      </w:r>
      <w:r>
        <w:rPr>
          <w:rFonts w:ascii="Arial" w:cs="Arial" w:eastAsia="Arial" w:hAnsi="Arial"/>
          <w:sz w:val="14"/>
          <w:szCs w:val="14"/>
          <w:color w:val="auto"/>
        </w:rPr>
        <w:t>- Net interest income increased for the three- and nine-month periods ended September 30, 2021 compared to the same periods in 2020 driven by rate and</w:t>
      </w:r>
      <w:r>
        <w:rPr>
          <w:rFonts w:ascii="Arial" w:cs="Arial" w:eastAsia="Arial" w:hAnsi="Arial"/>
          <w:sz w:val="14"/>
          <w:szCs w:val="14"/>
          <w:b w:val="1"/>
          <w:bCs w:val="1"/>
          <w:color w:val="auto"/>
        </w:rPr>
        <w:t xml:space="preserve"> </w:t>
      </w:r>
      <w:r>
        <w:rPr>
          <w:rFonts w:ascii="Arial" w:cs="Arial" w:eastAsia="Arial" w:hAnsi="Arial"/>
          <w:sz w:val="14"/>
          <w:szCs w:val="14"/>
          <w:color w:val="auto"/>
        </w:rPr>
        <w:t>volume declines in interest-bearing liabilities. The Company anticipates net interest margin to remain stable or slightly decline during the fourth quarter of 2021 as time deposits continue to mature at higher rates, offset by lower yields on earning assets.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Impact of Transition Away from LIBOR</w:t>
      </w:r>
    </w:p>
    <w:p>
      <w:pPr>
        <w:spacing w:after="0" w:line="159" w:lineRule="exact"/>
        <w:rPr>
          <w:sz w:val="20"/>
          <w:szCs w:val="20"/>
          <w:color w:val="auto"/>
        </w:rPr>
      </w:pPr>
    </w:p>
    <w:p>
      <w:pPr>
        <w:ind w:left="140" w:right="60" w:firstLine="384"/>
        <w:spacing w:after="0" w:line="329" w:lineRule="auto"/>
        <w:rPr>
          <w:sz w:val="20"/>
          <w:szCs w:val="20"/>
          <w:color w:val="auto"/>
        </w:rPr>
      </w:pPr>
      <w:r>
        <w:rPr>
          <w:rFonts w:ascii="Arial" w:cs="Arial" w:eastAsia="Arial" w:hAnsi="Arial"/>
          <w:sz w:val="13"/>
          <w:szCs w:val="13"/>
          <w:color w:val="auto"/>
        </w:rPr>
        <w:t>The Company had more than $1.4 billion in loans tied to LIBOR at September 30, 2021. Starting in October 2021, the Company began limiting loans originated using the LIBOR index. For current borrowers, the Company is modifying loan document language to account for the transition away from LIBOR as loans renew or originate. The Company plans to replace LIBOR-based loans with the Secured Overnight Financing Rate. The Company adopted Accounting Standards Update (“ASU”) 2020-04 “Reference Rate Reform (Topic 848): Facilitation of the Effects of Reference Rate Reform on Financial Reporting” in 2020. The ASU allows the Company to recognize the modification related to LIBOR as a continuation of the old contract, rather than a cancellation of the old contract resulting in a write-off of unamortized fees and creation of a new contract.</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Non-Interest Income (Expense)</w:t>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8"/>
          </w:tcPr>
          <w:p>
            <w:pPr>
              <w:jc w:val="center"/>
              <w:ind w:right="729"/>
              <w:spacing w:after="0"/>
              <w:rPr>
                <w:sz w:val="20"/>
                <w:szCs w:val="20"/>
                <w:color w:val="auto"/>
              </w:rPr>
            </w:pPr>
            <w:r>
              <w:rPr>
                <w:rFonts w:ascii="Arial" w:cs="Arial" w:eastAsia="Arial" w:hAnsi="Arial"/>
                <w:sz w:val="14"/>
                <w:szCs w:val="14"/>
                <w:b w:val="1"/>
                <w:bCs w:val="1"/>
                <w:color w:val="auto"/>
                <w:w w:val="95"/>
              </w:rPr>
              <w:t>For the Quarter Ended</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w w:val="95"/>
              </w:rPr>
              <w:t>For the Nine Months Ended</w:t>
            </w:r>
          </w:p>
        </w:tc>
        <w:tc>
          <w:tcPr>
            <w:tcW w:w="2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left="9"/>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29"/>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9"/>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20" w:type="dxa"/>
            <w:vAlign w:val="bottom"/>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gridSpan w:val="6"/>
          </w:tcPr>
          <w:p>
            <w:pPr>
              <w:jc w:val="center"/>
              <w:ind w:right="20"/>
              <w:spacing w:after="0"/>
              <w:rPr>
                <w:sz w:val="20"/>
                <w:szCs w:val="20"/>
                <w:color w:val="auto"/>
              </w:rPr>
            </w:pPr>
            <w:r>
              <w:rPr>
                <w:rFonts w:ascii="Arial" w:cs="Arial" w:eastAsia="Arial" w:hAnsi="Arial"/>
                <w:sz w:val="13"/>
                <w:szCs w:val="13"/>
                <w:i w:val="1"/>
                <w:iCs w:val="1"/>
                <w:color w:val="auto"/>
                <w:w w:val="91"/>
              </w:rPr>
              <w:t>(Dollars in thousands)</w:t>
            </w: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Total non-interest income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(1,105)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5,825</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4,144</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2,949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4,063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8,864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8,792</w:t>
            </w:r>
          </w:p>
        </w:tc>
        <w:tc>
          <w:tcPr>
            <w:tcW w:w="20" w:type="dxa"/>
            <w:vAlign w:val="bottom"/>
            <w:shd w:val="clear" w:color="auto" w:fill="CCEEFF"/>
          </w:tcPr>
          <w:p>
            <w:pPr>
              <w:spacing w:after="0"/>
              <w:rPr>
                <w:sz w:val="15"/>
                <w:szCs w:val="15"/>
                <w:color w:val="auto"/>
              </w:rPr>
            </w:pPr>
          </w:p>
        </w:tc>
      </w:tr>
      <w:tr>
        <w:trPr>
          <w:trHeight w:val="267"/>
        </w:trPr>
        <w:tc>
          <w:tcPr>
            <w:tcW w:w="3020" w:type="dxa"/>
            <w:vAlign w:val="bottom"/>
            <w:gridSpan w:val="2"/>
          </w:tcPr>
          <w:p>
            <w:pPr>
              <w:spacing w:after="0"/>
              <w:rPr>
                <w:sz w:val="20"/>
                <w:szCs w:val="20"/>
                <w:color w:val="auto"/>
              </w:rPr>
            </w:pPr>
            <w:r>
              <w:rPr>
                <w:rFonts w:ascii="Arial" w:cs="Arial" w:eastAsia="Arial" w:hAnsi="Arial"/>
                <w:sz w:val="14"/>
                <w:szCs w:val="14"/>
                <w:color w:val="auto"/>
                <w:w w:val="93"/>
              </w:rPr>
              <w:t>Non-interest income (expense) to average assets</w:t>
            </w:r>
            <w:r>
              <w:rPr>
                <w:rFonts w:ascii="Arial" w:cs="Arial" w:eastAsia="Arial" w:hAnsi="Arial"/>
                <w:sz w:val="18"/>
                <w:szCs w:val="18"/>
                <w:color w:val="auto"/>
                <w:w w:val="93"/>
                <w:vertAlign w:val="superscript"/>
              </w:rPr>
              <w:t>(1)</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(0.08)%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0.41 %</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0.29 %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0.21 %</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0.29 %</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0.21 %</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0.22 %</w:t>
            </w:r>
          </w:p>
        </w:tc>
        <w:tc>
          <w:tcPr>
            <w:tcW w:w="20" w:type="dxa"/>
            <w:vAlign w:val="bottom"/>
          </w:tcPr>
          <w:p>
            <w:pPr>
              <w:spacing w:after="0"/>
              <w:rPr>
                <w:sz w:val="23"/>
                <w:szCs w:val="23"/>
                <w:color w:val="auto"/>
              </w:rPr>
            </w:pPr>
          </w:p>
        </w:tc>
      </w:tr>
    </w:tbl>
    <w:p>
      <w:pPr>
        <w:spacing w:after="0" w:line="4" w:lineRule="exact"/>
        <w:rPr>
          <w:sz w:val="20"/>
          <w:szCs w:val="20"/>
          <w:color w:val="auto"/>
        </w:rPr>
      </w:pPr>
    </w:p>
    <w:p>
      <w:pPr>
        <w:ind w:left="260" w:hanging="137"/>
        <w:spacing w:after="0"/>
        <w:tabs>
          <w:tab w:leader="none" w:pos="26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Interim periods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500"/>
          </w:cols>
          <w:pgMar w:left="780" w:top="406" w:right="6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364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40" w:type="dxa"/>
            <w:vAlign w:val="bottom"/>
          </w:tcPr>
          <w:p>
            <w:pPr>
              <w:spacing w:after="0"/>
              <w:rPr>
                <w:sz w:val="24"/>
                <w:szCs w:val="24"/>
                <w:color w:val="auto"/>
              </w:rPr>
            </w:pPr>
          </w:p>
        </w:tc>
        <w:tc>
          <w:tcPr>
            <w:tcW w:w="5220" w:type="dxa"/>
            <w:vAlign w:val="bottom"/>
            <w:gridSpan w:val="10"/>
          </w:tcPr>
          <w:p>
            <w:pPr>
              <w:ind w:left="380"/>
              <w:spacing w:after="0"/>
              <w:rPr>
                <w:sz w:val="20"/>
                <w:szCs w:val="20"/>
                <w:color w:val="auto"/>
              </w:rPr>
            </w:pPr>
            <w:r>
              <w:rPr>
                <w:rFonts w:ascii="Arial" w:cs="Arial" w:eastAsia="Arial" w:hAnsi="Arial"/>
                <w:sz w:val="14"/>
                <w:szCs w:val="14"/>
                <w:color w:val="auto"/>
                <w:w w:val="98"/>
              </w:rPr>
              <w:t>The components of non-interest income were as follows for the periods shown:</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5"/>
              </w:rPr>
              <w:t>For the Quarter Ended</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gridSpan w:val="6"/>
          </w:tcPr>
          <w:p>
            <w:pPr>
              <w:spacing w:after="0"/>
              <w:rPr>
                <w:sz w:val="20"/>
                <w:szCs w:val="20"/>
                <w:color w:val="auto"/>
              </w:rPr>
            </w:pPr>
            <w:r>
              <w:rPr>
                <w:rFonts w:ascii="Arial" w:cs="Arial" w:eastAsia="Arial" w:hAnsi="Arial"/>
                <w:sz w:val="14"/>
                <w:szCs w:val="14"/>
                <w:b w:val="1"/>
                <w:bCs w:val="1"/>
                <w:color w:val="auto"/>
                <w:w w:val="93"/>
              </w:rPr>
              <w:t>For the Nine Months Ended</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7"/>
          </w:tcPr>
          <w:p>
            <w:pPr>
              <w:jc w:val="right"/>
              <w:ind w:right="280"/>
              <w:spacing w:after="0"/>
              <w:rPr>
                <w:sz w:val="20"/>
                <w:szCs w:val="20"/>
                <w:color w:val="auto"/>
              </w:rPr>
            </w:pPr>
            <w:r>
              <w:rPr>
                <w:rFonts w:ascii="Arial" w:cs="Arial" w:eastAsia="Arial" w:hAnsi="Arial"/>
                <w:sz w:val="13"/>
                <w:szCs w:val="13"/>
                <w:i w:val="1"/>
                <w:iCs w:val="1"/>
                <w:color w:val="auto"/>
                <w:w w:val="93"/>
              </w:rPr>
              <w:t>(Dollars in thousands)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 charges and fees on customer accounts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2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22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Arial" w:cs="Arial" w:eastAsia="Arial" w:hAnsi="Arial"/>
                <w:sz w:val="14"/>
                <w:szCs w:val="14"/>
                <w:color w:val="auto"/>
              </w:rPr>
              <w:t>Realized gains on available-for-sale securities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1,046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1,043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1,725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(682)</w:t>
            </w:r>
          </w:p>
        </w:tc>
        <w:tc>
          <w:tcPr>
            <w:tcW w:w="60" w:type="dxa"/>
            <w:vAlign w:val="bottom"/>
          </w:tcPr>
          <w:p>
            <w:pPr>
              <w:spacing w:after="0"/>
              <w:rPr>
                <w:sz w:val="15"/>
                <w:szCs w:val="15"/>
                <w:color w:val="auto"/>
              </w:rPr>
            </w:pPr>
          </w:p>
        </w:tc>
        <w:tc>
          <w:tcPr>
            <w:tcW w:w="820" w:type="dxa"/>
            <w:vAlign w:val="bottom"/>
            <w:gridSpan w:val="2"/>
          </w:tcPr>
          <w:p>
            <w:pPr>
              <w:jc w:val="right"/>
              <w:ind w:right="109"/>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Unrealized gains (losses), net on equity securities</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(6,210)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(6,210)</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(6,243)</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w:t>
            </w: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(11,879)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Arial" w:cs="Arial" w:eastAsia="Arial" w:hAnsi="Arial"/>
                <w:sz w:val="14"/>
                <w:szCs w:val="14"/>
                <w:color w:val="auto"/>
              </w:rPr>
              <w:t>Income from bank-owned life insurance</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3,088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1,715</w:t>
            </w:r>
          </w:p>
        </w:tc>
        <w:tc>
          <w:tcPr>
            <w:tcW w:w="60" w:type="dxa"/>
            <w:vAlign w:val="bottom"/>
          </w:tcPr>
          <w:p>
            <w:pPr>
              <w:spacing w:after="0"/>
              <w:rPr>
                <w:sz w:val="15"/>
                <w:szCs w:val="15"/>
                <w:color w:val="auto"/>
              </w:rPr>
            </w:pPr>
          </w:p>
        </w:tc>
        <w:tc>
          <w:tcPr>
            <w:tcW w:w="820" w:type="dxa"/>
            <w:vAlign w:val="bottom"/>
            <w:gridSpan w:val="2"/>
          </w:tcPr>
          <w:p>
            <w:pPr>
              <w:jc w:val="right"/>
              <w:ind w:right="149"/>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Swap fees and credit valuation adjustments, net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Arial" w:cs="Arial" w:eastAsia="Arial" w:hAnsi="Arial"/>
                <w:sz w:val="14"/>
                <w:szCs w:val="14"/>
                <w:color w:val="auto"/>
              </w:rPr>
              <w:t>ATM and credit card interchange income</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1,735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253</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5,569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2,863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2,706</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non-interest income</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8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6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3500" w:type="dxa"/>
            <w:vAlign w:val="bottom"/>
            <w:gridSpan w:val="2"/>
          </w:tcPr>
          <w:p>
            <w:pPr>
              <w:ind w:left="80"/>
              <w:spacing w:after="0"/>
              <w:rPr>
                <w:sz w:val="20"/>
                <w:szCs w:val="20"/>
                <w:color w:val="auto"/>
              </w:rPr>
            </w:pPr>
            <w:r>
              <w:rPr>
                <w:rFonts w:ascii="Arial" w:cs="Arial" w:eastAsia="Arial" w:hAnsi="Arial"/>
                <w:sz w:val="14"/>
                <w:szCs w:val="14"/>
                <w:color w:val="auto"/>
              </w:rPr>
              <w:t>Total non-interest income (loss)</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(1,105)</w:t>
            </w: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4,063</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(5,168)</w:t>
            </w: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(127)%</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8,864</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8,792</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60" w:type="dxa"/>
            <w:vAlign w:val="bottom"/>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1 %</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color w:val="auto"/>
        </w:rPr>
        <w:t>The changes in non-interest income were driven by the following:</w:t>
      </w:r>
    </w:p>
    <w:p>
      <w:pPr>
        <w:spacing w:after="0" w:line="166" w:lineRule="exact"/>
        <w:rPr>
          <w:sz w:val="20"/>
          <w:szCs w:val="20"/>
          <w:color w:val="auto"/>
        </w:rPr>
      </w:pPr>
    </w:p>
    <w:p>
      <w:pPr>
        <w:ind w:left="140" w:right="140"/>
        <w:spacing w:after="0" w:line="304" w:lineRule="auto"/>
        <w:rPr>
          <w:sz w:val="20"/>
          <w:szCs w:val="20"/>
          <w:color w:val="auto"/>
        </w:rPr>
      </w:pPr>
      <w:r>
        <w:rPr>
          <w:rFonts w:ascii="Arial" w:cs="Arial" w:eastAsia="Arial" w:hAnsi="Arial"/>
          <w:sz w:val="14"/>
          <w:szCs w:val="14"/>
          <w:b w:val="1"/>
          <w:bCs w:val="1"/>
          <w:u w:val="single" w:color="auto"/>
          <w:color w:val="auto"/>
        </w:rPr>
        <w:t>Service charges and fees on customer accounts</w:t>
      </w:r>
      <w:r>
        <w:rPr>
          <w:rFonts w:ascii="Arial" w:cs="Arial" w:eastAsia="Arial" w:hAnsi="Arial"/>
          <w:sz w:val="14"/>
          <w:szCs w:val="14"/>
          <w:b w:val="1"/>
          <w:bCs w:val="1"/>
          <w:color w:val="auto"/>
        </w:rPr>
        <w:t xml:space="preserve"> </w:t>
      </w:r>
      <w:r>
        <w:rPr>
          <w:rFonts w:ascii="Arial" w:cs="Arial" w:eastAsia="Arial" w:hAnsi="Arial"/>
          <w:sz w:val="14"/>
          <w:szCs w:val="14"/>
          <w:color w:val="auto"/>
        </w:rPr>
        <w:t>- The increase for the three- and nine-month periods ended September 30, 2021 compared to the same corresponding periods in</w:t>
      </w:r>
      <w:r>
        <w:rPr>
          <w:rFonts w:ascii="Arial" w:cs="Arial" w:eastAsia="Arial" w:hAnsi="Arial"/>
          <w:sz w:val="14"/>
          <w:szCs w:val="14"/>
          <w:b w:val="1"/>
          <w:bCs w:val="1"/>
          <w:color w:val="auto"/>
        </w:rPr>
        <w:t xml:space="preserve"> </w:t>
      </w:r>
      <w:r>
        <w:rPr>
          <w:rFonts w:ascii="Arial" w:cs="Arial" w:eastAsia="Arial" w:hAnsi="Arial"/>
          <w:sz w:val="14"/>
          <w:szCs w:val="14"/>
          <w:color w:val="auto"/>
        </w:rPr>
        <w:t>2020 was driven by a decline in costs associated with our rebate program, including a reduction in the funded balance and reduction in rates used. In addition, customer growth and an increase in transactions improved account analysis fees.</w:t>
      </w:r>
    </w:p>
    <w:p>
      <w:pPr>
        <w:spacing w:after="0" w:line="103" w:lineRule="exact"/>
        <w:rPr>
          <w:sz w:val="20"/>
          <w:szCs w:val="20"/>
          <w:color w:val="auto"/>
        </w:rPr>
      </w:pPr>
    </w:p>
    <w:p>
      <w:pPr>
        <w:ind w:left="140" w:right="20"/>
        <w:spacing w:after="0" w:line="333" w:lineRule="auto"/>
        <w:rPr>
          <w:sz w:val="20"/>
          <w:szCs w:val="20"/>
          <w:color w:val="auto"/>
        </w:rPr>
      </w:pPr>
      <w:r>
        <w:rPr>
          <w:rFonts w:ascii="Arial" w:cs="Arial" w:eastAsia="Arial" w:hAnsi="Arial"/>
          <w:sz w:val="13"/>
          <w:szCs w:val="13"/>
          <w:b w:val="1"/>
          <w:bCs w:val="1"/>
          <w:u w:val="single" w:color="auto"/>
          <w:color w:val="auto"/>
        </w:rPr>
        <w:t>Realized gains on available-for-sale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 The increase for the three-month period ended September 30, 2021 compared to the same corresponding period in 2020 resulted</w:t>
      </w:r>
      <w:r>
        <w:rPr>
          <w:rFonts w:ascii="Arial" w:cs="Arial" w:eastAsia="Arial" w:hAnsi="Arial"/>
          <w:sz w:val="13"/>
          <w:szCs w:val="13"/>
          <w:b w:val="1"/>
          <w:bCs w:val="1"/>
          <w:color w:val="auto"/>
        </w:rPr>
        <w:t xml:space="preserve"> </w:t>
      </w:r>
      <w:r>
        <w:rPr>
          <w:rFonts w:ascii="Arial" w:cs="Arial" w:eastAsia="Arial" w:hAnsi="Arial"/>
          <w:sz w:val="13"/>
          <w:szCs w:val="13"/>
          <w:color w:val="auto"/>
        </w:rPr>
        <w:t>from the sale of $16 million in tax-exempt securities compared to $13 million of tax-exempt securities sold during the three-month period ended September 30, 2020. The decline for the nine-month period ended September 30, 2021 compared to the same corresponding period in 2020 was due to an additional $19 million of tax-exempt securities sold in 2020. The sales were a strategic decision by management to capitalize on attractive market conditions and improve credit quality.</w:t>
      </w:r>
    </w:p>
    <w:p>
      <w:pPr>
        <w:spacing w:after="0" w:line="77" w:lineRule="exact"/>
        <w:rPr>
          <w:sz w:val="20"/>
          <w:szCs w:val="20"/>
          <w:color w:val="auto"/>
        </w:rPr>
      </w:pPr>
    </w:p>
    <w:p>
      <w:pPr>
        <w:ind w:left="140" w:right="120"/>
        <w:spacing w:after="0" w:line="331" w:lineRule="auto"/>
        <w:rPr>
          <w:sz w:val="20"/>
          <w:szCs w:val="20"/>
          <w:color w:val="auto"/>
        </w:rPr>
      </w:pPr>
      <w:r>
        <w:rPr>
          <w:rFonts w:ascii="Arial" w:cs="Arial" w:eastAsia="Arial" w:hAnsi="Arial"/>
          <w:sz w:val="13"/>
          <w:szCs w:val="13"/>
          <w:b w:val="1"/>
          <w:bCs w:val="1"/>
          <w:u w:val="single" w:color="auto"/>
          <w:color w:val="auto"/>
        </w:rPr>
        <w:t>Unrealized gains (losses), net on equity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 During the quarter ended September 30, 2021, the Company recorded a $6 million unrealized loss related to an equity</w:t>
      </w:r>
      <w:r>
        <w:rPr>
          <w:rFonts w:ascii="Arial" w:cs="Arial" w:eastAsia="Arial" w:hAnsi="Arial"/>
          <w:sz w:val="13"/>
          <w:szCs w:val="13"/>
          <w:b w:val="1"/>
          <w:bCs w:val="1"/>
          <w:color w:val="auto"/>
        </w:rPr>
        <w:t xml:space="preserve"> </w:t>
      </w:r>
      <w:r>
        <w:rPr>
          <w:rFonts w:ascii="Arial" w:cs="Arial" w:eastAsia="Arial" w:hAnsi="Arial"/>
          <w:sz w:val="13"/>
          <w:szCs w:val="13"/>
          <w:color w:val="auto"/>
        </w:rPr>
        <w:t>investment received as part of a modified loan agreement. The Company elected to account for this security at cost minus impairment, unless an orderly transaction for an identical or similar investment of the same issuer occurred that would result in an updated fair market value. Prior to the quarter ended September 30, 2021, the equity investment’s key performance indicators were stable and no impairment indicators arose. During the three-month period ended September 30, 2021, significant adverse changes in market conditions for the investment resulted in the impairment review. The Company anticipates the equity investment will be sold during the fourth quarter of 2021.</w:t>
      </w:r>
    </w:p>
    <w:p>
      <w:pPr>
        <w:spacing w:after="0" w:line="79" w:lineRule="exact"/>
        <w:rPr>
          <w:sz w:val="20"/>
          <w:szCs w:val="20"/>
          <w:color w:val="auto"/>
        </w:rPr>
      </w:pPr>
    </w:p>
    <w:p>
      <w:pPr>
        <w:ind w:left="140" w:right="320"/>
        <w:spacing w:after="0" w:line="434" w:lineRule="auto"/>
        <w:rPr>
          <w:sz w:val="20"/>
          <w:szCs w:val="20"/>
          <w:color w:val="auto"/>
        </w:rPr>
      </w:pPr>
      <w:r>
        <w:rPr>
          <w:rFonts w:ascii="Arial" w:cs="Arial" w:eastAsia="Arial" w:hAnsi="Arial"/>
          <w:sz w:val="12"/>
          <w:szCs w:val="12"/>
          <w:b w:val="1"/>
          <w:bCs w:val="1"/>
          <w:u w:val="single" w:color="auto"/>
          <w:color w:val="auto"/>
        </w:rPr>
        <w:t>Income from bank-owned life insurance</w:t>
      </w:r>
      <w:r>
        <w:rPr>
          <w:rFonts w:ascii="Arial" w:cs="Arial" w:eastAsia="Arial" w:hAnsi="Arial"/>
          <w:sz w:val="12"/>
          <w:szCs w:val="12"/>
          <w:b w:val="1"/>
          <w:bCs w:val="1"/>
          <w:color w:val="auto"/>
        </w:rPr>
        <w:t xml:space="preserve"> </w:t>
      </w:r>
      <w:r>
        <w:rPr>
          <w:rFonts w:ascii="Arial" w:cs="Arial" w:eastAsia="Arial" w:hAnsi="Arial"/>
          <w:sz w:val="12"/>
          <w:szCs w:val="12"/>
          <w:color w:val="auto"/>
        </w:rPr>
        <w:t>- The increase for the nine-month period ended September 30, 2021 was due to the Company recognizing $2 million in tax-free death</w:t>
      </w:r>
      <w:r>
        <w:rPr>
          <w:rFonts w:ascii="Arial" w:cs="Arial" w:eastAsia="Arial" w:hAnsi="Arial"/>
          <w:sz w:val="12"/>
          <w:szCs w:val="12"/>
          <w:b w:val="1"/>
          <w:bCs w:val="1"/>
          <w:color w:val="auto"/>
        </w:rPr>
        <w:t xml:space="preserve"> </w:t>
      </w:r>
      <w:r>
        <w:rPr>
          <w:rFonts w:ascii="Arial" w:cs="Arial" w:eastAsia="Arial" w:hAnsi="Arial"/>
          <w:sz w:val="12"/>
          <w:szCs w:val="12"/>
          <w:color w:val="auto"/>
        </w:rPr>
        <w:t>benefits from a bank-owned life insurance policy during the second quarter of 2021 compared to $0 of such proceeds for the nine-month period ended September 30, 2020.</w:t>
      </w:r>
    </w:p>
    <w:p>
      <w:pPr>
        <w:spacing w:after="0" w:line="24" w:lineRule="exact"/>
        <w:rPr>
          <w:sz w:val="20"/>
          <w:szCs w:val="20"/>
          <w:color w:val="auto"/>
        </w:rPr>
      </w:pPr>
    </w:p>
    <w:p>
      <w:pPr>
        <w:ind w:left="140" w:right="60"/>
        <w:spacing w:after="0" w:line="303" w:lineRule="auto"/>
        <w:rPr>
          <w:sz w:val="20"/>
          <w:szCs w:val="20"/>
          <w:color w:val="auto"/>
        </w:rPr>
      </w:pPr>
      <w:r>
        <w:rPr>
          <w:rFonts w:ascii="Arial" w:cs="Arial" w:eastAsia="Arial" w:hAnsi="Arial"/>
          <w:sz w:val="14"/>
          <w:szCs w:val="14"/>
          <w:b w:val="1"/>
          <w:bCs w:val="1"/>
          <w:u w:val="single" w:color="auto"/>
          <w:color w:val="auto"/>
        </w:rPr>
        <w:t>Swap Fee and Credit Valuation Adjustments, Net</w:t>
      </w:r>
      <w:r>
        <w:rPr>
          <w:rFonts w:ascii="Arial" w:cs="Arial" w:eastAsia="Arial" w:hAnsi="Arial"/>
          <w:sz w:val="14"/>
          <w:szCs w:val="14"/>
          <w:b w:val="1"/>
          <w:bCs w:val="1"/>
          <w:color w:val="auto"/>
        </w:rPr>
        <w:t xml:space="preserve"> </w:t>
      </w:r>
      <w:r>
        <w:rPr>
          <w:rFonts w:ascii="Arial" w:cs="Arial" w:eastAsia="Arial" w:hAnsi="Arial"/>
          <w:sz w:val="14"/>
          <w:szCs w:val="14"/>
          <w:color w:val="auto"/>
        </w:rPr>
        <w:t>- This category includes swap fees from the execution of new swaps and the credit valuation adjustment (“CVA”). Swap fees on</w:t>
      </w:r>
      <w:r>
        <w:rPr>
          <w:rFonts w:ascii="Arial" w:cs="Arial" w:eastAsia="Arial" w:hAnsi="Arial"/>
          <w:sz w:val="14"/>
          <w:szCs w:val="14"/>
          <w:b w:val="1"/>
          <w:bCs w:val="1"/>
          <w:color w:val="auto"/>
        </w:rPr>
        <w:t xml:space="preserve"> </w:t>
      </w:r>
      <w:r>
        <w:rPr>
          <w:rFonts w:ascii="Arial" w:cs="Arial" w:eastAsia="Arial" w:hAnsi="Arial"/>
          <w:sz w:val="14"/>
          <w:szCs w:val="14"/>
          <w:color w:val="auto"/>
        </w:rPr>
        <w:t>new swaps depend on the size and term of the underlying asset. During the three- and nine-month periods ended September 30, 2021, no new swaps were executed compared to one and three new swaps for the three- and nine-month periods ended September 30, 2020, respectively. The low volume of new swaps was due to management's loan and pricing strategy and lower long-term interest rates.</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0500"/>
          </w:cols>
          <w:pgMar w:left="780" w:top="395" w:right="619" w:bottom="1440" w:gutter="0" w:footer="0" w:header="0"/>
        </w:sectPr>
      </w:pPr>
    </w:p>
    <w:bookmarkStart w:id="46" w:name="page47"/>
    <w:bookmarkEnd w:id="46"/>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4" w:lineRule="exact"/>
        <w:rPr>
          <w:sz w:val="20"/>
          <w:szCs w:val="20"/>
          <w:color w:val="auto"/>
        </w:rPr>
      </w:pPr>
    </w:p>
    <w:p>
      <w:pPr>
        <w:ind w:left="140" w:right="80"/>
        <w:spacing w:after="0" w:line="333" w:lineRule="auto"/>
        <w:rPr>
          <w:sz w:val="20"/>
          <w:szCs w:val="20"/>
          <w:color w:val="auto"/>
        </w:rPr>
      </w:pPr>
      <w:r>
        <w:rPr>
          <w:rFonts w:ascii="Arial" w:cs="Arial" w:eastAsia="Arial" w:hAnsi="Arial"/>
          <w:sz w:val="13"/>
          <w:szCs w:val="13"/>
          <w:b w:val="1"/>
          <w:bCs w:val="1"/>
          <w:u w:val="single" w:color="auto"/>
          <w:color w:val="auto"/>
        </w:rPr>
        <w:t>ATM and Credit Card Interchange Income</w:t>
      </w:r>
      <w:r>
        <w:rPr>
          <w:rFonts w:ascii="Arial" w:cs="Arial" w:eastAsia="Arial" w:hAnsi="Arial"/>
          <w:sz w:val="13"/>
          <w:szCs w:val="13"/>
          <w:b w:val="1"/>
          <w:bCs w:val="1"/>
          <w:color w:val="auto"/>
        </w:rPr>
        <w:t xml:space="preserve"> </w:t>
      </w:r>
      <w:r>
        <w:rPr>
          <w:rFonts w:ascii="Arial" w:cs="Arial" w:eastAsia="Arial" w:hAnsi="Arial"/>
          <w:sz w:val="13"/>
          <w:szCs w:val="13"/>
          <w:color w:val="auto"/>
        </w:rPr>
        <w:t>- The increase in ATM and credit card interchange income for the three- and nine-month periods ended September 30, 2021 compared</w:t>
      </w:r>
      <w:r>
        <w:rPr>
          <w:rFonts w:ascii="Arial" w:cs="Arial" w:eastAsia="Arial" w:hAnsi="Arial"/>
          <w:sz w:val="13"/>
          <w:szCs w:val="13"/>
          <w:b w:val="1"/>
          <w:bCs w:val="1"/>
          <w:color w:val="auto"/>
        </w:rPr>
        <w:t xml:space="preserve"> </w:t>
      </w:r>
      <w:r>
        <w:rPr>
          <w:rFonts w:ascii="Arial" w:cs="Arial" w:eastAsia="Arial" w:hAnsi="Arial"/>
          <w:sz w:val="13"/>
          <w:szCs w:val="13"/>
          <w:color w:val="auto"/>
        </w:rPr>
        <w:t>to the same periods in 2020 was primarily the result of customers that mobilized their workforce directly impacted by the COVID-19 pandemic. The Company saw a $229 thousand increase for the three-month period ended September 30, 2021 compared to the prior three-month period ended June 30, 2021 as COVID-19 cases increased. The Company anticipates the credit card activity and related income will continue to fluctuate in connection with changes in COVID-19 cases and the related vaccine rollout.</w:t>
      </w:r>
    </w:p>
    <w:p>
      <w:pPr>
        <w:spacing w:after="0" w:line="77" w:lineRule="exact"/>
        <w:rPr>
          <w:sz w:val="20"/>
          <w:szCs w:val="20"/>
          <w:color w:val="auto"/>
        </w:rPr>
      </w:pPr>
    </w:p>
    <w:p>
      <w:pPr>
        <w:ind w:left="140"/>
        <w:spacing w:after="0" w:line="308" w:lineRule="auto"/>
        <w:rPr>
          <w:sz w:val="20"/>
          <w:szCs w:val="20"/>
          <w:color w:val="auto"/>
        </w:rPr>
      </w:pPr>
      <w:r>
        <w:rPr>
          <w:rFonts w:ascii="Arial" w:cs="Arial" w:eastAsia="Arial" w:hAnsi="Arial"/>
          <w:sz w:val="14"/>
          <w:szCs w:val="14"/>
          <w:b w:val="1"/>
          <w:bCs w:val="1"/>
          <w:u w:val="single" w:color="auto"/>
          <w:color w:val="auto"/>
        </w:rPr>
        <w:t>Other non-interest income</w:t>
      </w:r>
      <w:r>
        <w:rPr>
          <w:rFonts w:ascii="Arial" w:cs="Arial" w:eastAsia="Arial" w:hAnsi="Arial"/>
          <w:sz w:val="14"/>
          <w:szCs w:val="14"/>
          <w:b w:val="1"/>
          <w:bCs w:val="1"/>
          <w:color w:val="auto"/>
        </w:rPr>
        <w:t xml:space="preserve"> </w:t>
      </w:r>
      <w:r>
        <w:rPr>
          <w:rFonts w:ascii="Arial" w:cs="Arial" w:eastAsia="Arial" w:hAnsi="Arial"/>
          <w:sz w:val="14"/>
          <w:szCs w:val="14"/>
          <w:color w:val="auto"/>
        </w:rPr>
        <w:t>- The increase in other non-interest income for the three- and nine-month periods ended September 30, 2021 compared to the same periods in 2020 was</w:t>
      </w:r>
      <w:r>
        <w:rPr>
          <w:rFonts w:ascii="Arial" w:cs="Arial" w:eastAsia="Arial" w:hAnsi="Arial"/>
          <w:sz w:val="14"/>
          <w:szCs w:val="14"/>
          <w:b w:val="1"/>
          <w:bCs w:val="1"/>
          <w:color w:val="auto"/>
        </w:rPr>
        <w:t xml:space="preserve"> </w:t>
      </w:r>
      <w:r>
        <w:rPr>
          <w:rFonts w:ascii="Arial" w:cs="Arial" w:eastAsia="Arial" w:hAnsi="Arial"/>
          <w:sz w:val="14"/>
          <w:szCs w:val="14"/>
          <w:color w:val="auto"/>
        </w:rPr>
        <w:t>related to $305 thousand and $183 thousand in state employment incentives received in the third and second quarter of 2021, respectively. We expect to receive the incentives quarterly going forward for three years, but at significantly lower amounts. The Company also saw a $367 thousand increase in letter of credit and foreign exchange fees for the nine-month period ended September 30, 2021 compared to the corresponding period in 2020.</w:t>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Non-Interest Expense</w:t>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8"/>
          </w:tcPr>
          <w:p>
            <w:pPr>
              <w:jc w:val="center"/>
              <w:ind w:right="729"/>
              <w:spacing w:after="0"/>
              <w:rPr>
                <w:sz w:val="20"/>
                <w:szCs w:val="20"/>
                <w:color w:val="auto"/>
              </w:rPr>
            </w:pPr>
            <w:r>
              <w:rPr>
                <w:rFonts w:ascii="Arial" w:cs="Arial" w:eastAsia="Arial" w:hAnsi="Arial"/>
                <w:sz w:val="14"/>
                <w:szCs w:val="14"/>
                <w:b w:val="1"/>
                <w:bCs w:val="1"/>
                <w:color w:val="auto"/>
                <w:w w:val="94"/>
              </w:rPr>
              <w:t>For the Quarter Ended</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w w:val="99"/>
              </w:rPr>
              <w:t>For the Nine Months Ended</w:t>
            </w:r>
          </w:p>
        </w:tc>
        <w:tc>
          <w:tcPr>
            <w:tcW w:w="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2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6"/>
          </w:tcPr>
          <w:p>
            <w:pPr>
              <w:jc w:val="center"/>
              <w:ind w:right="60"/>
              <w:spacing w:after="0"/>
              <w:rPr>
                <w:sz w:val="20"/>
                <w:szCs w:val="20"/>
                <w:color w:val="auto"/>
              </w:rPr>
            </w:pPr>
            <w:r>
              <w:rPr>
                <w:rFonts w:ascii="Arial" w:cs="Arial" w:eastAsia="Arial" w:hAnsi="Arial"/>
                <w:sz w:val="13"/>
                <w:szCs w:val="13"/>
                <w:i w:val="1"/>
                <w:iCs w:val="1"/>
                <w:color w:val="auto"/>
                <w:w w:val="91"/>
              </w:rPr>
              <w:t>(Dollars in thousands)</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Total non-interest expense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24,036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25,813</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22,818</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23,732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23,011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72,667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76,244</w:t>
            </w:r>
          </w:p>
        </w:tc>
        <w:tc>
          <w:tcPr>
            <w:tcW w:w="20" w:type="dxa"/>
            <w:vAlign w:val="bottom"/>
            <w:shd w:val="clear" w:color="auto" w:fill="CCEEFF"/>
          </w:tcPr>
          <w:p>
            <w:pPr>
              <w:spacing w:after="0"/>
              <w:rPr>
                <w:sz w:val="15"/>
                <w:szCs w:val="15"/>
                <w:color w:val="auto"/>
              </w:rPr>
            </w:pPr>
          </w:p>
        </w:tc>
      </w:tr>
      <w:tr>
        <w:trPr>
          <w:trHeight w:val="244"/>
        </w:trPr>
        <w:tc>
          <w:tcPr>
            <w:tcW w:w="2520" w:type="dxa"/>
            <w:vAlign w:val="bottom"/>
            <w:gridSpan w:val="2"/>
          </w:tcPr>
          <w:p>
            <w:pPr>
              <w:spacing w:after="0"/>
              <w:rPr>
                <w:sz w:val="20"/>
                <w:szCs w:val="20"/>
                <w:color w:val="auto"/>
              </w:rPr>
            </w:pPr>
            <w:r>
              <w:rPr>
                <w:rFonts w:ascii="Arial" w:cs="Arial" w:eastAsia="Arial" w:hAnsi="Arial"/>
                <w:sz w:val="14"/>
                <w:szCs w:val="14"/>
                <w:color w:val="auto"/>
                <w:w w:val="95"/>
              </w:rPr>
              <w:t>Non-interest expense to average assets</w:t>
            </w:r>
            <w:r>
              <w:rPr>
                <w:rFonts w:ascii="Arial" w:cs="Arial" w:eastAsia="Arial" w:hAnsi="Arial"/>
                <w:sz w:val="18"/>
                <w:szCs w:val="18"/>
                <w:color w:val="auto"/>
                <w:w w:val="95"/>
                <w:vertAlign w:val="superscript"/>
              </w:rPr>
              <w:t>(2)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1.76 %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1.82 %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1.71 %</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1.67 %</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1.73 %</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1.92 %</w:t>
            </w:r>
          </w:p>
        </w:tc>
        <w:tc>
          <w:tcPr>
            <w:tcW w:w="20" w:type="dxa"/>
            <w:vAlign w:val="bottom"/>
          </w:tcPr>
          <w:p>
            <w:pPr>
              <w:spacing w:after="0"/>
              <w:rPr>
                <w:sz w:val="21"/>
                <w:szCs w:val="21"/>
                <w:color w:val="auto"/>
              </w:rPr>
            </w:pPr>
          </w:p>
        </w:tc>
      </w:tr>
    </w:tbl>
    <w:p>
      <w:pPr>
        <w:ind w:left="260" w:hanging="137"/>
        <w:spacing w:after="0" w:line="204" w:lineRule="auto"/>
        <w:tabs>
          <w:tab w:leader="none" w:pos="26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Total non-interest expense includes $7 million related to goodwill impairment.</w:t>
      </w:r>
    </w:p>
    <w:p>
      <w:pPr>
        <w:spacing w:after="0" w:line="57" w:lineRule="exact"/>
        <w:rPr>
          <w:rFonts w:ascii="Arial" w:cs="Arial" w:eastAsia="Arial" w:hAnsi="Arial"/>
          <w:sz w:val="16"/>
          <w:szCs w:val="16"/>
          <w:color w:val="auto"/>
          <w:vertAlign w:val="superscript"/>
        </w:rPr>
      </w:pPr>
    </w:p>
    <w:p>
      <w:pPr>
        <w:ind w:left="260" w:hanging="137"/>
        <w:spacing w:after="0" w:line="203" w:lineRule="auto"/>
        <w:tabs>
          <w:tab w:leader="none" w:pos="26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Interim periods annualized.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non-interest expense were as follows for the periods indicated:</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For the Quarter Ended</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gridSpan w:val="7"/>
          </w:tcPr>
          <w:p>
            <w:pPr>
              <w:spacing w:after="0"/>
              <w:rPr>
                <w:sz w:val="20"/>
                <w:szCs w:val="20"/>
                <w:color w:val="auto"/>
              </w:rPr>
            </w:pPr>
            <w:r>
              <w:rPr>
                <w:rFonts w:ascii="Arial" w:cs="Arial" w:eastAsia="Arial" w:hAnsi="Arial"/>
                <w:sz w:val="14"/>
                <w:szCs w:val="14"/>
                <w:b w:val="1"/>
                <w:bCs w:val="1"/>
                <w:color w:val="auto"/>
              </w:rPr>
              <w:t>For the Nine Months Ended</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0" w:type="dxa"/>
            <w:vAlign w:val="bottom"/>
            <w:tcBorders>
              <w:bottom w:val="single" w:sz="8" w:color="auto"/>
            </w:tcBorders>
          </w:tcPr>
          <w:p>
            <w:pPr>
              <w:spacing w:after="0"/>
              <w:rPr>
                <w:sz w:val="15"/>
                <w:szCs w:val="15"/>
                <w:color w:val="auto"/>
              </w:rPr>
            </w:pPr>
          </w:p>
        </w:tc>
        <w:tc>
          <w:tcPr>
            <w:tcW w:w="63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7"/>
              </w:rPr>
              <w:t>Change</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 w:type="dxa"/>
            <w:vAlign w:val="bottom"/>
            <w:tcBorders>
              <w:bottom w:val="single" w:sz="8" w:color="auto"/>
            </w:tcBorders>
          </w:tcPr>
          <w:p>
            <w:pPr>
              <w:spacing w:after="0"/>
              <w:rPr>
                <w:sz w:val="14"/>
                <w:szCs w:val="14"/>
                <w:color w:val="auto"/>
              </w:rPr>
            </w:pPr>
          </w:p>
        </w:tc>
        <w:tc>
          <w:tcPr>
            <w:tcW w:w="63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5"/>
          </w:tcPr>
          <w:p>
            <w:pPr>
              <w:jc w:val="right"/>
              <w:ind w:right="149"/>
              <w:spacing w:after="0"/>
              <w:rPr>
                <w:sz w:val="20"/>
                <w:szCs w:val="20"/>
                <w:color w:val="auto"/>
              </w:rPr>
            </w:pPr>
            <w:r>
              <w:rPr>
                <w:rFonts w:ascii="Arial" w:cs="Arial" w:eastAsia="Arial" w:hAnsi="Arial"/>
                <w:sz w:val="13"/>
                <w:szCs w:val="13"/>
                <w:i w:val="1"/>
                <w:iCs w:val="1"/>
                <w:color w:val="auto"/>
                <w:w w:val="93"/>
              </w:rPr>
              <w:t>(Dollars in thousands)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Salary and employee benefits</w:t>
            </w:r>
          </w:p>
        </w:tc>
        <w:tc>
          <w:tcPr>
            <w:tcW w:w="17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w w:val="76"/>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44,612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43,022</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Occupancy</w:t>
            </w: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2,416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2,144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7,307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6,274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20" w:type="dxa"/>
            <w:vAlign w:val="bottom"/>
            <w:shd w:val="clear" w:color="auto" w:fill="CCEEFF"/>
          </w:tcPr>
          <w:p>
            <w:pPr>
              <w:spacing w:after="0"/>
              <w:rPr>
                <w:sz w:val="15"/>
                <w:szCs w:val="15"/>
                <w:color w:val="auto"/>
              </w:rPr>
            </w:pPr>
          </w:p>
        </w:tc>
        <w:tc>
          <w:tcPr>
            <w:tcW w:w="150" w:type="dxa"/>
            <w:vAlign w:val="bottom"/>
            <w:shd w:val="clear" w:color="auto" w:fill="CCEEFF"/>
          </w:tcPr>
          <w:p>
            <w:pPr>
              <w:spacing w:after="0"/>
              <w:rPr>
                <w:sz w:val="15"/>
                <w:szCs w:val="15"/>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Deposit insurance premiums</w:t>
            </w: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927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(169)</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2,995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3,151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(156)</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2"/>
          </w:tcPr>
          <w:p>
            <w:pPr>
              <w:jc w:val="right"/>
              <w:ind w:right="109"/>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Data processing</w:t>
            </w:r>
          </w:p>
        </w:tc>
        <w:tc>
          <w:tcPr>
            <w:tcW w:w="20" w:type="dxa"/>
            <w:vAlign w:val="bottom"/>
            <w:shd w:val="clear" w:color="auto" w:fill="CCEEFF"/>
          </w:tcPr>
          <w:p>
            <w:pPr>
              <w:spacing w:after="0"/>
              <w:rPr>
                <w:sz w:val="15"/>
                <w:szCs w:val="15"/>
                <w:color w:val="auto"/>
              </w:rPr>
            </w:pPr>
          </w:p>
        </w:tc>
        <w:tc>
          <w:tcPr>
            <w:tcW w:w="150" w:type="dxa"/>
            <w:vAlign w:val="bottom"/>
            <w:shd w:val="clear" w:color="auto" w:fill="CCEEFF"/>
          </w:tcPr>
          <w:p>
            <w:pPr>
              <w:spacing w:after="0"/>
              <w:rPr>
                <w:sz w:val="15"/>
                <w:szCs w:val="15"/>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Advertising</w:t>
            </w: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596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449</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305</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1,334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Software and communication</w:t>
            </w:r>
          </w:p>
        </w:tc>
        <w:tc>
          <w:tcPr>
            <w:tcW w:w="20" w:type="dxa"/>
            <w:vAlign w:val="bottom"/>
            <w:shd w:val="clear" w:color="auto" w:fill="CCEEFF"/>
          </w:tcPr>
          <w:p>
            <w:pPr>
              <w:spacing w:after="0"/>
              <w:rPr>
                <w:sz w:val="15"/>
                <w:szCs w:val="15"/>
                <w:color w:val="auto"/>
              </w:rPr>
            </w:pPr>
          </w:p>
        </w:tc>
        <w:tc>
          <w:tcPr>
            <w:tcW w:w="150" w:type="dxa"/>
            <w:vAlign w:val="bottom"/>
            <w:shd w:val="clear" w:color="auto" w:fill="CCEEFF"/>
          </w:tcPr>
          <w:p>
            <w:pPr>
              <w:spacing w:after="0"/>
              <w:rPr>
                <w:sz w:val="15"/>
                <w:szCs w:val="15"/>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Foreclosed assets, net</w:t>
            </w:r>
          </w:p>
        </w:tc>
        <w:tc>
          <w:tcPr>
            <w:tcW w:w="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50" w:type="dxa"/>
            <w:vAlign w:val="bottom"/>
            <w:gridSpan w:val="2"/>
          </w:tcPr>
          <w:p>
            <w:pPr>
              <w:jc w:val="right"/>
              <w:ind w:right="20"/>
              <w:spacing w:after="0"/>
              <w:rPr>
                <w:sz w:val="20"/>
                <w:szCs w:val="20"/>
                <w:color w:val="auto"/>
              </w:rPr>
            </w:pPr>
            <w:r>
              <w:rPr>
                <w:rFonts w:ascii="Arial" w:cs="Arial" w:eastAsia="Arial" w:hAnsi="Arial"/>
                <w:sz w:val="14"/>
                <w:szCs w:val="14"/>
                <w:color w:val="auto"/>
              </w:rPr>
              <w:t>(35)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(275)</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1,174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2"/>
          </w:tcPr>
          <w:p>
            <w:pPr>
              <w:jc w:val="right"/>
              <w:ind w:right="109"/>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Goodwill impairment</w:t>
            </w:r>
          </w:p>
        </w:tc>
        <w:tc>
          <w:tcPr>
            <w:tcW w:w="20" w:type="dxa"/>
            <w:vAlign w:val="bottom"/>
            <w:shd w:val="clear" w:color="auto" w:fill="CCEEFF"/>
          </w:tcPr>
          <w:p>
            <w:pPr>
              <w:spacing w:after="0"/>
              <w:rPr>
                <w:sz w:val="15"/>
                <w:szCs w:val="15"/>
                <w:color w:val="auto"/>
              </w:rPr>
            </w:pPr>
          </w:p>
        </w:tc>
        <w:tc>
          <w:tcPr>
            <w:tcW w:w="150" w:type="dxa"/>
            <w:vAlign w:val="bottom"/>
            <w:shd w:val="clear" w:color="auto" w:fill="CCEEFF"/>
          </w:tcPr>
          <w:p>
            <w:pPr>
              <w:spacing w:after="0"/>
              <w:rPr>
                <w:sz w:val="15"/>
                <w:szCs w:val="15"/>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(7,397)</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(100)</w:t>
            </w:r>
          </w:p>
        </w:tc>
        <w:tc>
          <w:tcPr>
            <w:tcW w:w="2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Other non-interest expense</w:t>
            </w:r>
          </w:p>
        </w:tc>
        <w:tc>
          <w:tcPr>
            <w:tcW w:w="20" w:type="dxa"/>
            <w:vAlign w:val="bottom"/>
            <w:tcBorders>
              <w:bottom w:val="single" w:sz="8" w:color="auto"/>
            </w:tcBorders>
          </w:tcPr>
          <w:p>
            <w:pPr>
              <w:spacing w:after="0"/>
              <w:rPr>
                <w:sz w:val="16"/>
                <w:szCs w:val="16"/>
                <w:color w:val="auto"/>
              </w:rPr>
            </w:pPr>
          </w:p>
        </w:tc>
        <w:tc>
          <w:tcPr>
            <w:tcW w:w="150" w:type="dxa"/>
            <w:vAlign w:val="bottom"/>
            <w:tcBorders>
              <w:bottom w:val="single" w:sz="8" w:color="auto"/>
            </w:tcBorders>
          </w:tcPr>
          <w:p>
            <w:pPr>
              <w:spacing w:after="0"/>
              <w:rPr>
                <w:sz w:val="16"/>
                <w:szCs w:val="16"/>
                <w:color w:val="auto"/>
              </w:rPr>
            </w:pPr>
          </w:p>
        </w:tc>
        <w:tc>
          <w:tcPr>
            <w:tcW w:w="63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2,233</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7,967</w:t>
            </w: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6,421</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1,546</w:t>
            </w: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35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non-interest expense</w:t>
            </w:r>
          </w:p>
        </w:tc>
        <w:tc>
          <w:tcPr>
            <w:tcW w:w="20" w:type="dxa"/>
            <w:vAlign w:val="bottom"/>
            <w:tcBorders>
              <w:top w:val="single" w:sz="8" w:color="CCEEFF"/>
            </w:tcBorders>
            <w:shd w:val="clear" w:color="auto" w:fill="CCEEFF"/>
          </w:tcPr>
          <w:p>
            <w:pPr>
              <w:spacing w:after="0"/>
              <w:rPr>
                <w:sz w:val="14"/>
                <w:szCs w:val="14"/>
                <w:color w:val="auto"/>
              </w:rPr>
            </w:pPr>
          </w:p>
        </w:tc>
        <w:tc>
          <w:tcPr>
            <w:tcW w:w="150" w:type="dxa"/>
            <w:vAlign w:val="bottom"/>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72,667</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76,244</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(3,577)</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6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changes in non-interest expense were driven by the following:</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0500"/>
          </w:cols>
          <w:pgMar w:left="780" w:top="406" w:right="619" w:bottom="1440" w:gutter="0" w:footer="0" w:header="0"/>
        </w:sectPr>
      </w:pPr>
    </w:p>
    <w:bookmarkStart w:id="47" w:name="page48"/>
    <w:bookmarkEnd w:id="47"/>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4" w:lineRule="exact"/>
        <w:rPr>
          <w:sz w:val="20"/>
          <w:szCs w:val="20"/>
          <w:color w:val="auto"/>
        </w:rPr>
      </w:pPr>
    </w:p>
    <w:p>
      <w:pPr>
        <w:ind w:left="140" w:right="100"/>
        <w:spacing w:after="0" w:line="303" w:lineRule="auto"/>
        <w:rPr>
          <w:sz w:val="20"/>
          <w:szCs w:val="20"/>
          <w:color w:val="auto"/>
        </w:rPr>
      </w:pPr>
      <w:r>
        <w:rPr>
          <w:rFonts w:ascii="Arial" w:cs="Arial" w:eastAsia="Arial" w:hAnsi="Arial"/>
          <w:sz w:val="14"/>
          <w:szCs w:val="14"/>
          <w:b w:val="1"/>
          <w:bCs w:val="1"/>
          <w:u w:val="single" w:color="auto"/>
          <w:color w:val="auto"/>
        </w:rPr>
        <w:t>Salary and Employee Benefits</w:t>
      </w:r>
      <w:r>
        <w:rPr>
          <w:rFonts w:ascii="Arial" w:cs="Arial" w:eastAsia="Arial" w:hAnsi="Arial"/>
          <w:sz w:val="14"/>
          <w:szCs w:val="14"/>
          <w:b w:val="1"/>
          <w:bCs w:val="1"/>
          <w:color w:val="auto"/>
        </w:rPr>
        <w:t xml:space="preserve"> </w:t>
      </w:r>
      <w:r>
        <w:rPr>
          <w:rFonts w:ascii="Arial" w:cs="Arial" w:eastAsia="Arial" w:hAnsi="Arial"/>
          <w:sz w:val="14"/>
          <w:szCs w:val="14"/>
          <w:color w:val="auto"/>
        </w:rPr>
        <w:t>- Salary and employee benefit costs increased for the three- and nine-month periods ended September 30, 2021 compared to the same periods in</w:t>
      </w:r>
      <w:r>
        <w:rPr>
          <w:rFonts w:ascii="Arial" w:cs="Arial" w:eastAsia="Arial" w:hAnsi="Arial"/>
          <w:sz w:val="14"/>
          <w:szCs w:val="14"/>
          <w:b w:val="1"/>
          <w:bCs w:val="1"/>
          <w:color w:val="auto"/>
        </w:rPr>
        <w:t xml:space="preserve"> </w:t>
      </w:r>
      <w:r>
        <w:rPr>
          <w:rFonts w:ascii="Arial" w:cs="Arial" w:eastAsia="Arial" w:hAnsi="Arial"/>
          <w:sz w:val="14"/>
          <w:szCs w:val="14"/>
          <w:color w:val="auto"/>
        </w:rPr>
        <w:t>2020 primarily due to an increase in anticipated payouts for performance-based awards that resulted from improved earnings and asset quality metrics, partially offset by changes in employee headcount. During the nine-month period ended September 30, 2021, the Company recognized $719 thousand in costs due to accelerated vesting of stock-based awards and the annual incentive award of a former employee.</w:t>
      </w:r>
    </w:p>
    <w:p>
      <w:pPr>
        <w:spacing w:after="0" w:line="94" w:lineRule="exact"/>
        <w:rPr>
          <w:sz w:val="20"/>
          <w:szCs w:val="20"/>
          <w:color w:val="auto"/>
        </w:rPr>
      </w:pPr>
    </w:p>
    <w:p>
      <w:pPr>
        <w:ind w:left="140" w:right="120"/>
        <w:spacing w:after="0" w:line="382" w:lineRule="auto"/>
        <w:rPr>
          <w:sz w:val="20"/>
          <w:szCs w:val="20"/>
          <w:color w:val="auto"/>
        </w:rPr>
      </w:pPr>
      <w:r>
        <w:rPr>
          <w:rFonts w:ascii="Arial" w:cs="Arial" w:eastAsia="Arial" w:hAnsi="Arial"/>
          <w:sz w:val="13"/>
          <w:szCs w:val="13"/>
          <w:b w:val="1"/>
          <w:bCs w:val="1"/>
          <w:u w:val="single" w:color="auto"/>
          <w:color w:val="auto"/>
        </w:rPr>
        <w:t>Occupancy</w:t>
      </w:r>
      <w:r>
        <w:rPr>
          <w:rFonts w:ascii="Arial" w:cs="Arial" w:eastAsia="Arial" w:hAnsi="Arial"/>
          <w:sz w:val="13"/>
          <w:szCs w:val="13"/>
          <w:b w:val="1"/>
          <w:bCs w:val="1"/>
          <w:color w:val="auto"/>
        </w:rPr>
        <w:t xml:space="preserve"> </w:t>
      </w:r>
      <w:r>
        <w:rPr>
          <w:rFonts w:ascii="Arial" w:cs="Arial" w:eastAsia="Arial" w:hAnsi="Arial"/>
          <w:sz w:val="13"/>
          <w:szCs w:val="13"/>
          <w:color w:val="auto"/>
        </w:rPr>
        <w:t>- Occupancy costs increased for the three- and nine-month periods ended September 30, 2021 compared to the same periods in 2020 primarily due to our new locations</w:t>
      </w:r>
      <w:r>
        <w:rPr>
          <w:rFonts w:ascii="Arial" w:cs="Arial" w:eastAsia="Arial" w:hAnsi="Arial"/>
          <w:sz w:val="13"/>
          <w:szCs w:val="13"/>
          <w:b w:val="1"/>
          <w:bCs w:val="1"/>
          <w:color w:val="auto"/>
        </w:rPr>
        <w:t xml:space="preserve"> </w:t>
      </w:r>
      <w:r>
        <w:rPr>
          <w:rFonts w:ascii="Arial" w:cs="Arial" w:eastAsia="Arial" w:hAnsi="Arial"/>
          <w:sz w:val="13"/>
          <w:szCs w:val="13"/>
          <w:color w:val="auto"/>
        </w:rPr>
        <w:t>in the rapidly growing Frisco, Texas market and Phoenix, Arizona market and our more prominent location on the Country Club Plaza, in Kansas City, Missouri.</w:t>
      </w:r>
    </w:p>
    <w:p>
      <w:pPr>
        <w:spacing w:after="0" w:line="47" w:lineRule="exact"/>
        <w:rPr>
          <w:sz w:val="20"/>
          <w:szCs w:val="20"/>
          <w:color w:val="auto"/>
        </w:rPr>
      </w:pPr>
    </w:p>
    <w:p>
      <w:pPr>
        <w:ind w:left="140" w:right="80"/>
        <w:spacing w:after="0" w:line="337" w:lineRule="auto"/>
        <w:rPr>
          <w:sz w:val="20"/>
          <w:szCs w:val="20"/>
          <w:color w:val="auto"/>
        </w:rPr>
      </w:pPr>
      <w:r>
        <w:rPr>
          <w:rFonts w:ascii="Arial" w:cs="Arial" w:eastAsia="Arial" w:hAnsi="Arial"/>
          <w:sz w:val="14"/>
          <w:szCs w:val="14"/>
          <w:b w:val="1"/>
          <w:bCs w:val="1"/>
          <w:u w:val="single" w:color="auto"/>
          <w:color w:val="auto"/>
        </w:rPr>
        <w:t>Professional Fees</w:t>
      </w:r>
      <w:r>
        <w:rPr>
          <w:rFonts w:ascii="Arial" w:cs="Arial" w:eastAsia="Arial" w:hAnsi="Arial"/>
          <w:sz w:val="14"/>
          <w:szCs w:val="14"/>
          <w:b w:val="1"/>
          <w:bCs w:val="1"/>
          <w:color w:val="auto"/>
        </w:rPr>
        <w:t xml:space="preserve"> </w:t>
      </w:r>
      <w:r>
        <w:rPr>
          <w:rFonts w:ascii="Arial" w:cs="Arial" w:eastAsia="Arial" w:hAnsi="Arial"/>
          <w:sz w:val="14"/>
          <w:szCs w:val="14"/>
          <w:color w:val="auto"/>
        </w:rPr>
        <w:t>- Professional fees declined for the three- and nine-month periods ended September 30, 2021 compared to the same corresponding periods in 2020 primarily from</w:t>
      </w:r>
      <w:r>
        <w:rPr>
          <w:rFonts w:ascii="Arial" w:cs="Arial" w:eastAsia="Arial" w:hAnsi="Arial"/>
          <w:sz w:val="14"/>
          <w:szCs w:val="14"/>
          <w:b w:val="1"/>
          <w:bCs w:val="1"/>
          <w:color w:val="auto"/>
        </w:rPr>
        <w:t xml:space="preserve"> </w:t>
      </w:r>
      <w:r>
        <w:rPr>
          <w:rFonts w:ascii="Arial" w:cs="Arial" w:eastAsia="Arial" w:hAnsi="Arial"/>
          <w:sz w:val="14"/>
          <w:szCs w:val="14"/>
          <w:color w:val="auto"/>
        </w:rPr>
        <w:t>a reduction in legal fees related to PPP loan originations and loan workouts.</w:t>
      </w:r>
    </w:p>
    <w:p>
      <w:pPr>
        <w:spacing w:after="0" w:line="71" w:lineRule="exact"/>
        <w:rPr>
          <w:sz w:val="20"/>
          <w:szCs w:val="20"/>
          <w:color w:val="auto"/>
        </w:rPr>
      </w:pPr>
    </w:p>
    <w:p>
      <w:pPr>
        <w:ind w:left="140" w:right="260"/>
        <w:spacing w:after="0" w:line="322" w:lineRule="auto"/>
        <w:rPr>
          <w:sz w:val="20"/>
          <w:szCs w:val="20"/>
          <w:color w:val="auto"/>
        </w:rPr>
      </w:pPr>
      <w:r>
        <w:rPr>
          <w:rFonts w:ascii="Arial" w:cs="Arial" w:eastAsia="Arial" w:hAnsi="Arial"/>
          <w:sz w:val="14"/>
          <w:szCs w:val="14"/>
          <w:b w:val="1"/>
          <w:bCs w:val="1"/>
          <w:u w:val="single" w:color="auto"/>
          <w:color w:val="auto"/>
        </w:rPr>
        <w:t>Deposit Insurance Premiums</w:t>
      </w:r>
      <w:r>
        <w:rPr>
          <w:rFonts w:ascii="Arial" w:cs="Arial" w:eastAsia="Arial" w:hAnsi="Arial"/>
          <w:sz w:val="14"/>
          <w:szCs w:val="14"/>
          <w:b w:val="1"/>
          <w:bCs w:val="1"/>
          <w:color w:val="auto"/>
        </w:rPr>
        <w:t xml:space="preserve"> </w:t>
      </w:r>
      <w:r>
        <w:rPr>
          <w:rFonts w:ascii="Arial" w:cs="Arial" w:eastAsia="Arial" w:hAnsi="Arial"/>
          <w:sz w:val="14"/>
          <w:szCs w:val="14"/>
          <w:color w:val="auto"/>
        </w:rPr>
        <w:t>- The FDIC uses a risk-based premium system to calculate quarterly fees. Our costs fluctuate because of changes in asset growth, changes in asset</w:t>
      </w:r>
      <w:r>
        <w:rPr>
          <w:rFonts w:ascii="Arial" w:cs="Arial" w:eastAsia="Arial" w:hAnsi="Arial"/>
          <w:sz w:val="14"/>
          <w:szCs w:val="14"/>
          <w:b w:val="1"/>
          <w:bCs w:val="1"/>
          <w:color w:val="auto"/>
        </w:rPr>
        <w:t xml:space="preserve"> </w:t>
      </w:r>
      <w:r>
        <w:rPr>
          <w:rFonts w:ascii="Arial" w:cs="Arial" w:eastAsia="Arial" w:hAnsi="Arial"/>
          <w:sz w:val="14"/>
          <w:szCs w:val="14"/>
          <w:color w:val="auto"/>
        </w:rPr>
        <w:t>quality and changes in capital ratios.</w:t>
      </w:r>
    </w:p>
    <w:p>
      <w:pPr>
        <w:spacing w:after="0" w:line="91" w:lineRule="exact"/>
        <w:rPr>
          <w:sz w:val="20"/>
          <w:szCs w:val="20"/>
          <w:color w:val="auto"/>
        </w:rPr>
      </w:pPr>
    </w:p>
    <w:p>
      <w:pPr>
        <w:ind w:left="140" w:right="300"/>
        <w:spacing w:after="0" w:line="322" w:lineRule="auto"/>
        <w:rPr>
          <w:sz w:val="20"/>
          <w:szCs w:val="20"/>
          <w:color w:val="auto"/>
        </w:rPr>
      </w:pPr>
      <w:r>
        <w:rPr>
          <w:rFonts w:ascii="Arial" w:cs="Arial" w:eastAsia="Arial" w:hAnsi="Arial"/>
          <w:sz w:val="14"/>
          <w:szCs w:val="14"/>
          <w:b w:val="1"/>
          <w:bCs w:val="1"/>
          <w:u w:val="single" w:color="auto"/>
          <w:color w:val="auto"/>
        </w:rPr>
        <w:t>Advertising</w:t>
      </w:r>
      <w:r>
        <w:rPr>
          <w:rFonts w:ascii="Arial" w:cs="Arial" w:eastAsia="Arial" w:hAnsi="Arial"/>
          <w:sz w:val="14"/>
          <w:szCs w:val="14"/>
          <w:b w:val="1"/>
          <w:bCs w:val="1"/>
          <w:color w:val="auto"/>
        </w:rPr>
        <w:t xml:space="preserve"> </w:t>
      </w:r>
      <w:r>
        <w:rPr>
          <w:rFonts w:ascii="Arial" w:cs="Arial" w:eastAsia="Arial" w:hAnsi="Arial"/>
          <w:sz w:val="14"/>
          <w:szCs w:val="14"/>
          <w:color w:val="auto"/>
        </w:rPr>
        <w:t>- The increase in advertising costs was driven by increased in-person events for the three- and nine-month periods ended September 30, 2021 compared to the same</w:t>
      </w:r>
      <w:r>
        <w:rPr>
          <w:rFonts w:ascii="Arial" w:cs="Arial" w:eastAsia="Arial" w:hAnsi="Arial"/>
          <w:sz w:val="14"/>
          <w:szCs w:val="14"/>
          <w:b w:val="1"/>
          <w:bCs w:val="1"/>
          <w:color w:val="auto"/>
        </w:rPr>
        <w:t xml:space="preserve"> </w:t>
      </w:r>
      <w:r>
        <w:rPr>
          <w:rFonts w:ascii="Arial" w:cs="Arial" w:eastAsia="Arial" w:hAnsi="Arial"/>
          <w:sz w:val="14"/>
          <w:szCs w:val="14"/>
          <w:color w:val="auto"/>
        </w:rPr>
        <w:t>periods in 2020 because of COVID-19 pandemic restrictions being lifted.</w:t>
      </w:r>
    </w:p>
    <w:p>
      <w:pPr>
        <w:spacing w:after="0" w:line="91" w:lineRule="exact"/>
        <w:rPr>
          <w:sz w:val="20"/>
          <w:szCs w:val="20"/>
          <w:color w:val="auto"/>
        </w:rPr>
      </w:pPr>
    </w:p>
    <w:p>
      <w:pPr>
        <w:jc w:val="both"/>
        <w:ind w:left="140" w:right="220"/>
        <w:spacing w:after="0" w:line="336" w:lineRule="auto"/>
        <w:rPr>
          <w:sz w:val="20"/>
          <w:szCs w:val="20"/>
          <w:color w:val="auto"/>
        </w:rPr>
      </w:pPr>
      <w:r>
        <w:rPr>
          <w:rFonts w:ascii="Arial" w:cs="Arial" w:eastAsia="Arial" w:hAnsi="Arial"/>
          <w:sz w:val="13"/>
          <w:szCs w:val="13"/>
          <w:b w:val="1"/>
          <w:bCs w:val="1"/>
          <w:u w:val="single" w:color="auto"/>
          <w:color w:val="auto"/>
        </w:rPr>
        <w:t>Software and Communication</w:t>
      </w:r>
      <w:r>
        <w:rPr>
          <w:rFonts w:ascii="Arial" w:cs="Arial" w:eastAsia="Arial" w:hAnsi="Arial"/>
          <w:sz w:val="13"/>
          <w:szCs w:val="13"/>
          <w:b w:val="1"/>
          <w:bCs w:val="1"/>
          <w:color w:val="auto"/>
        </w:rPr>
        <w:t xml:space="preserve"> </w:t>
      </w:r>
      <w:r>
        <w:rPr>
          <w:rFonts w:ascii="Arial" w:cs="Arial" w:eastAsia="Arial" w:hAnsi="Arial"/>
          <w:sz w:val="13"/>
          <w:szCs w:val="13"/>
          <w:color w:val="auto"/>
        </w:rPr>
        <w:t>- Software and communication costs increased for the three- and nine-month periods ended September 30, 2021 compared to the same periods in</w:t>
      </w:r>
      <w:r>
        <w:rPr>
          <w:rFonts w:ascii="Arial" w:cs="Arial" w:eastAsia="Arial" w:hAnsi="Arial"/>
          <w:sz w:val="13"/>
          <w:szCs w:val="13"/>
          <w:b w:val="1"/>
          <w:bCs w:val="1"/>
          <w:color w:val="auto"/>
        </w:rPr>
        <w:t xml:space="preserve"> </w:t>
      </w:r>
      <w:r>
        <w:rPr>
          <w:rFonts w:ascii="Arial" w:cs="Arial" w:eastAsia="Arial" w:hAnsi="Arial"/>
          <w:sz w:val="13"/>
          <w:szCs w:val="13"/>
          <w:color w:val="auto"/>
        </w:rPr>
        <w:t>2020 primarily due to our continued strategy to invest in technologies that allow us to cover beginning-to-end loan originations, provide customers with a suite of online tools and analyze operational trends. In addition to the growing number of technologies implemented, a portion of costs increased because of our growth.</w:t>
      </w:r>
    </w:p>
    <w:p>
      <w:pPr>
        <w:spacing w:after="0" w:line="87" w:lineRule="exact"/>
        <w:rPr>
          <w:sz w:val="20"/>
          <w:szCs w:val="20"/>
          <w:color w:val="auto"/>
        </w:rPr>
      </w:pPr>
    </w:p>
    <w:p>
      <w:pPr>
        <w:ind w:left="140" w:right="60"/>
        <w:spacing w:after="0" w:line="312" w:lineRule="auto"/>
        <w:rPr>
          <w:sz w:val="20"/>
          <w:szCs w:val="20"/>
          <w:color w:val="auto"/>
        </w:rPr>
      </w:pPr>
      <w:r>
        <w:rPr>
          <w:rFonts w:ascii="Arial" w:cs="Arial" w:eastAsia="Arial" w:hAnsi="Arial"/>
          <w:sz w:val="14"/>
          <w:szCs w:val="14"/>
          <w:b w:val="1"/>
          <w:bCs w:val="1"/>
          <w:u w:val="single" w:color="auto"/>
          <w:color w:val="auto"/>
        </w:rPr>
        <w:t>Foreclosed Assets, net</w:t>
      </w:r>
      <w:r>
        <w:rPr>
          <w:rFonts w:ascii="Arial" w:cs="Arial" w:eastAsia="Arial" w:hAnsi="Arial"/>
          <w:sz w:val="14"/>
          <w:szCs w:val="14"/>
          <w:b w:val="1"/>
          <w:bCs w:val="1"/>
          <w:color w:val="auto"/>
        </w:rPr>
        <w:t xml:space="preserve"> </w:t>
      </w:r>
      <w:r>
        <w:rPr>
          <w:rFonts w:ascii="Arial" w:cs="Arial" w:eastAsia="Arial" w:hAnsi="Arial"/>
          <w:sz w:val="14"/>
          <w:szCs w:val="14"/>
          <w:color w:val="auto"/>
        </w:rPr>
        <w:t>- During the three-month period ended September 30, 2021, the Company sold a commercial use facility foreclosed upon in 2020 and raw land acquired in</w:t>
      </w:r>
      <w:r>
        <w:rPr>
          <w:rFonts w:ascii="Arial" w:cs="Arial" w:eastAsia="Arial" w:hAnsi="Arial"/>
          <w:sz w:val="14"/>
          <w:szCs w:val="14"/>
          <w:b w:val="1"/>
          <w:bCs w:val="1"/>
          <w:color w:val="auto"/>
        </w:rPr>
        <w:t xml:space="preserve"> </w:t>
      </w:r>
      <w:r>
        <w:rPr>
          <w:rFonts w:ascii="Arial" w:cs="Arial" w:eastAsia="Arial" w:hAnsi="Arial"/>
          <w:sz w:val="14"/>
          <w:szCs w:val="14"/>
          <w:color w:val="auto"/>
        </w:rPr>
        <w:t>2019. The facility was previously written down by $630 thousand during the three-month period ended June 30, 2021. The value of industrial facilities and raw land foreclosed upon in 2019 was reduced by $1 million during the nine-month period ended September 30, 2020.</w:t>
      </w:r>
    </w:p>
    <w:p>
      <w:pPr>
        <w:spacing w:after="0" w:line="87" w:lineRule="exact"/>
        <w:rPr>
          <w:sz w:val="20"/>
          <w:szCs w:val="20"/>
          <w:color w:val="auto"/>
        </w:rPr>
      </w:pPr>
    </w:p>
    <w:p>
      <w:pPr>
        <w:ind w:left="140" w:right="160"/>
        <w:spacing w:after="0" w:line="322" w:lineRule="auto"/>
        <w:rPr>
          <w:sz w:val="20"/>
          <w:szCs w:val="20"/>
          <w:color w:val="auto"/>
        </w:rPr>
      </w:pPr>
      <w:r>
        <w:rPr>
          <w:rFonts w:ascii="Arial" w:cs="Arial" w:eastAsia="Arial" w:hAnsi="Arial"/>
          <w:sz w:val="14"/>
          <w:szCs w:val="14"/>
          <w:b w:val="1"/>
          <w:bCs w:val="1"/>
          <w:u w:val="single" w:color="auto"/>
          <w:color w:val="auto"/>
        </w:rPr>
        <w:t>Goodwill Impairment</w:t>
      </w:r>
      <w:r>
        <w:rPr>
          <w:rFonts w:ascii="Arial" w:cs="Arial" w:eastAsia="Arial" w:hAnsi="Arial"/>
          <w:sz w:val="14"/>
          <w:szCs w:val="14"/>
          <w:b w:val="1"/>
          <w:bCs w:val="1"/>
          <w:color w:val="auto"/>
        </w:rPr>
        <w:t xml:space="preserve"> </w:t>
      </w:r>
      <w:r>
        <w:rPr>
          <w:rFonts w:ascii="Arial" w:cs="Arial" w:eastAsia="Arial" w:hAnsi="Arial"/>
          <w:sz w:val="14"/>
          <w:szCs w:val="14"/>
          <w:color w:val="auto"/>
        </w:rPr>
        <w:t>- The Company performed an interim review for goodwill impairment in 2020. A quantitative review was performed on the Tulsa market reporting unit and</w:t>
      </w:r>
      <w:r>
        <w:rPr>
          <w:rFonts w:ascii="Arial" w:cs="Arial" w:eastAsia="Arial" w:hAnsi="Arial"/>
          <w:sz w:val="14"/>
          <w:szCs w:val="14"/>
          <w:b w:val="1"/>
          <w:bCs w:val="1"/>
          <w:color w:val="auto"/>
        </w:rPr>
        <w:t xml:space="preserve"> </w:t>
      </w:r>
      <w:r>
        <w:rPr>
          <w:rFonts w:ascii="Arial" w:cs="Arial" w:eastAsia="Arial" w:hAnsi="Arial"/>
          <w:sz w:val="14"/>
          <w:szCs w:val="14"/>
          <w:color w:val="auto"/>
        </w:rPr>
        <w:t>resulted in a $7 million impairment.</w:t>
      </w:r>
    </w:p>
    <w:p>
      <w:pPr>
        <w:spacing w:after="0" w:line="91" w:lineRule="exact"/>
        <w:rPr>
          <w:sz w:val="20"/>
          <w:szCs w:val="20"/>
          <w:color w:val="auto"/>
        </w:rPr>
      </w:pPr>
    </w:p>
    <w:p>
      <w:pPr>
        <w:ind w:left="140" w:right="60"/>
        <w:spacing w:after="0" w:line="312" w:lineRule="auto"/>
        <w:rPr>
          <w:sz w:val="20"/>
          <w:szCs w:val="20"/>
          <w:color w:val="auto"/>
        </w:rPr>
      </w:pPr>
      <w:r>
        <w:rPr>
          <w:rFonts w:ascii="Arial" w:cs="Arial" w:eastAsia="Arial" w:hAnsi="Arial"/>
          <w:sz w:val="14"/>
          <w:szCs w:val="14"/>
          <w:b w:val="1"/>
          <w:bCs w:val="1"/>
          <w:u w:val="single" w:color="auto"/>
          <w:color w:val="auto"/>
        </w:rPr>
        <w:t>Other Non-interest Expense</w:t>
      </w:r>
      <w:r>
        <w:rPr>
          <w:rFonts w:ascii="Arial" w:cs="Arial" w:eastAsia="Arial" w:hAnsi="Arial"/>
          <w:sz w:val="14"/>
          <w:szCs w:val="14"/>
          <w:b w:val="1"/>
          <w:bCs w:val="1"/>
          <w:color w:val="auto"/>
        </w:rPr>
        <w:t xml:space="preserve"> </w:t>
      </w:r>
      <w:r>
        <w:rPr>
          <w:rFonts w:ascii="Arial" w:cs="Arial" w:eastAsia="Arial" w:hAnsi="Arial"/>
          <w:sz w:val="14"/>
          <w:szCs w:val="14"/>
          <w:color w:val="auto"/>
        </w:rPr>
        <w:t>- Other non-interest expense increased for the three- and nine-month periods ended September 30, 2021 compared to the same periods in 2020</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due to a $43 thousand and $1 million increase in commercial card costs, respectively, as a result of our growing customer base and increased use as a result of the COVID-19 pandemic. In addition, insured cash sweep (“ICS”) deposits increased in 2021 from 2020, which drove related fees higher.</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Income Taxes</w:t>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10"/>
          </w:tcPr>
          <w:p>
            <w:pPr>
              <w:jc w:val="center"/>
              <w:ind w:right="749"/>
              <w:spacing w:after="0"/>
              <w:rPr>
                <w:sz w:val="20"/>
                <w:szCs w:val="20"/>
                <w:color w:val="auto"/>
              </w:rPr>
            </w:pPr>
            <w:r>
              <w:rPr>
                <w:rFonts w:ascii="Arial" w:cs="Arial" w:eastAsia="Arial" w:hAnsi="Arial"/>
                <w:sz w:val="14"/>
                <w:szCs w:val="14"/>
                <w:b w:val="1"/>
                <w:bCs w:val="1"/>
                <w:color w:val="auto"/>
                <w:w w:val="94"/>
              </w:rPr>
              <w:t>For the Quarter Ended</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49"/>
              <w:spacing w:after="0"/>
              <w:rPr>
                <w:sz w:val="20"/>
                <w:szCs w:val="20"/>
                <w:color w:val="auto"/>
              </w:rPr>
            </w:pPr>
            <w:r>
              <w:rPr>
                <w:rFonts w:ascii="Arial" w:cs="Arial" w:eastAsia="Arial" w:hAnsi="Arial"/>
                <w:sz w:val="14"/>
                <w:szCs w:val="14"/>
                <w:b w:val="1"/>
                <w:bCs w:val="1"/>
                <w:color w:val="auto"/>
                <w:w w:val="99"/>
              </w:rPr>
              <w:t>For the Nine Months Ended</w:t>
            </w:r>
          </w:p>
        </w:tc>
        <w:tc>
          <w:tcPr>
            <w:tcW w:w="20" w:type="dxa"/>
            <w:vAlign w:val="bottom"/>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7"/>
          </w:tcPr>
          <w:p>
            <w:pPr>
              <w:jc w:val="center"/>
              <w:ind w:right="60"/>
              <w:spacing w:after="0"/>
              <w:rPr>
                <w:sz w:val="20"/>
                <w:szCs w:val="20"/>
                <w:color w:val="auto"/>
              </w:rPr>
            </w:pPr>
            <w:r>
              <w:rPr>
                <w:rFonts w:ascii="Arial" w:cs="Arial" w:eastAsia="Arial" w:hAnsi="Arial"/>
                <w:sz w:val="13"/>
                <w:szCs w:val="13"/>
                <w:i w:val="1"/>
                <w:iCs w:val="1"/>
                <w:color w:val="auto"/>
                <w:w w:val="91"/>
              </w:rPr>
              <w:t>(Dollars in 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5,660</w:t>
            </w: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18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w:t>
            </w:r>
          </w:p>
        </w:tc>
        <w:tc>
          <w:tcPr>
            <w:tcW w:w="1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1,498</w:t>
            </w:r>
          </w:p>
        </w:tc>
        <w:tc>
          <w:tcPr>
            <w:tcW w:w="2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11,831</w:t>
            </w:r>
          </w:p>
        </w:tc>
        <w:tc>
          <w:tcPr>
            <w:tcW w:w="2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26,660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18,840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14,943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9,879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9,504</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60,443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49"/>
              <w:spacing w:after="0"/>
              <w:rPr>
                <w:sz w:val="20"/>
                <w:szCs w:val="20"/>
                <w:color w:val="auto"/>
              </w:rPr>
            </w:pPr>
            <w:r>
              <w:rPr>
                <w:rFonts w:ascii="Arial" w:cs="Arial" w:eastAsia="Arial" w:hAnsi="Arial"/>
                <w:sz w:val="14"/>
                <w:szCs w:val="14"/>
                <w:color w:val="auto"/>
              </w:rPr>
              <w:t>5,435</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Effective tax rate</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682"/>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489"/>
              <w:spacing w:after="0"/>
              <w:rPr>
                <w:sz w:val="20"/>
                <w:szCs w:val="20"/>
                <w:color w:val="auto"/>
              </w:rPr>
            </w:pPr>
            <w:r>
              <w:rPr>
                <w:rFonts w:ascii="Arial" w:cs="Arial" w:eastAsia="Arial" w:hAnsi="Arial"/>
                <w:sz w:val="14"/>
                <w:szCs w:val="14"/>
                <w:color w:val="auto"/>
                <w:w w:val="89"/>
              </w:rPr>
              <w:t>48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500"/>
          </w:cols>
          <w:pgMar w:left="780" w:top="406" w:right="619" w:bottom="1440" w:gutter="0" w:footer="0" w:header="0"/>
        </w:sectPr>
      </w:pPr>
    </w:p>
    <w:bookmarkStart w:id="48" w:name="page49"/>
    <w:bookmarkEnd w:id="48"/>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140" w:right="100" w:firstLine="384"/>
        <w:spacing w:after="0" w:line="325" w:lineRule="auto"/>
        <w:rPr>
          <w:sz w:val="20"/>
          <w:szCs w:val="20"/>
          <w:color w:val="auto"/>
        </w:rPr>
      </w:pPr>
      <w:r>
        <w:rPr>
          <w:rFonts w:ascii="Arial" w:cs="Arial" w:eastAsia="Arial" w:hAnsi="Arial"/>
          <w:sz w:val="13"/>
          <w:szCs w:val="13"/>
          <w:color w:val="auto"/>
        </w:rPr>
        <w:t>Our income tax expense differs from the amount that would be calculated using the federal statutory tax rate, primarily from investments in tax advantaged assets, including bank-owned life insurance and tax-exempt municipal securities; state tax credits; and permanent tax differences from goodwill impairment and equity-based compensation. During the three-month period ended September 30, 2021, the Company’s effective tax rate was impacted by improved net income before taxes of $8 million or 42% while tax-exempt income declined $2 million or 31%. During the three-month period ended June 30, 2021, the Company benefited from $2 million in bank owned life insurance settlement benefits that reduced income taxes by $387 thousand and reduced the effective tax rate by approximately 2%. We anticipate the Company’s effective tax rate to remain within the 19% to 21% range in the near term. Refer to “Note 10: Income Tax” within the Notes to the Unaudited Financial Statements for more information.</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Analysis of Financial Condition</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Securities Portfolio</w:t>
      </w:r>
    </w:p>
    <w:p>
      <w:pPr>
        <w:spacing w:after="0" w:line="172" w:lineRule="exact"/>
        <w:rPr>
          <w:sz w:val="20"/>
          <w:szCs w:val="20"/>
          <w:color w:val="auto"/>
        </w:rPr>
      </w:pPr>
    </w:p>
    <w:p>
      <w:pPr>
        <w:jc w:val="both"/>
        <w:ind w:left="140" w:right="40" w:firstLine="384"/>
        <w:spacing w:after="0" w:line="371" w:lineRule="auto"/>
        <w:rPr>
          <w:sz w:val="20"/>
          <w:szCs w:val="20"/>
          <w:color w:val="auto"/>
        </w:rPr>
      </w:pPr>
      <w:r>
        <w:rPr>
          <w:rFonts w:ascii="Arial" w:cs="Arial" w:eastAsia="Arial" w:hAnsi="Arial"/>
          <w:sz w:val="12"/>
          <w:szCs w:val="12"/>
          <w:color w:val="auto"/>
        </w:rPr>
        <w:t>The securities portfolio is maintained to serve as a contingent, on-balance sheet source of liquidity. The objective of the investment portfolio is to optimize earnings, manage credit and interest rate risk, ensure adequate liquidity, and meet pledging and regulatory capital requirements. As of September 30, 2021, available-for-sale investments totaled $708 million, an increase of $54 million from December 31, 2020. For additional information, see “Note 3: Securities” in the Notes to the Unaudited Consolidated Financial Statements.</w:t>
      </w:r>
    </w:p>
    <w:p>
      <w:pPr>
        <w:spacing w:after="0" w:line="71"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Loan Portfolio</w:t>
      </w:r>
    </w:p>
    <w:p>
      <w:pPr>
        <w:spacing w:after="0" w:line="161" w:lineRule="exact"/>
        <w:rPr>
          <w:sz w:val="20"/>
          <w:szCs w:val="20"/>
          <w:color w:val="auto"/>
        </w:rPr>
      </w:pPr>
    </w:p>
    <w:p>
      <w:pPr>
        <w:ind w:left="140" w:right="420" w:firstLine="512"/>
        <w:spacing w:after="0" w:line="358" w:lineRule="auto"/>
        <w:rPr>
          <w:sz w:val="20"/>
          <w:szCs w:val="20"/>
          <w:color w:val="auto"/>
        </w:rPr>
      </w:pPr>
      <w:r>
        <w:rPr>
          <w:rFonts w:ascii="Arial" w:cs="Arial" w:eastAsia="Arial" w:hAnsi="Arial"/>
          <w:sz w:val="13"/>
          <w:szCs w:val="13"/>
          <w:color w:val="auto"/>
        </w:rPr>
        <w:t>Refer to “Note 4: Loans and Allowance for Loan Losses (“ALLL”)” within the Notes to the Unaudited Consolidated Financial Statements for additional information regarding the Company’s loan portfolio. As of September 30, 2021, gross loans declined $209 million or 5% from December 31, 2020 and was driven by the following:</w:t>
      </w:r>
    </w:p>
    <w:p>
      <w:pPr>
        <w:spacing w:after="0" w:line="73" w:lineRule="exact"/>
        <w:rPr>
          <w:sz w:val="20"/>
          <w:szCs w:val="20"/>
          <w:color w:val="auto"/>
        </w:rPr>
      </w:pPr>
    </w:p>
    <w:p>
      <w:pPr>
        <w:ind w:left="140" w:right="40"/>
        <w:spacing w:after="0" w:line="322" w:lineRule="auto"/>
        <w:rPr>
          <w:sz w:val="20"/>
          <w:szCs w:val="20"/>
          <w:color w:val="auto"/>
        </w:rPr>
      </w:pPr>
      <w:r>
        <w:rPr>
          <w:rFonts w:ascii="Arial" w:cs="Arial" w:eastAsia="Arial" w:hAnsi="Arial"/>
          <w:sz w:val="14"/>
          <w:szCs w:val="14"/>
          <w:b w:val="1"/>
          <w:bCs w:val="1"/>
          <w:u w:val="single" w:color="auto"/>
          <w:color w:val="auto"/>
        </w:rPr>
        <w:t>Commercial</w:t>
      </w:r>
      <w:r>
        <w:rPr>
          <w:rFonts w:ascii="Arial" w:cs="Arial" w:eastAsia="Arial" w:hAnsi="Arial"/>
          <w:sz w:val="14"/>
          <w:szCs w:val="14"/>
          <w:b w:val="1"/>
          <w:bCs w:val="1"/>
          <w:color w:val="auto"/>
        </w:rPr>
        <w:t xml:space="preserve"> </w:t>
      </w:r>
      <w:r>
        <w:rPr>
          <w:rFonts w:ascii="Arial" w:cs="Arial" w:eastAsia="Arial" w:hAnsi="Arial"/>
          <w:sz w:val="14"/>
          <w:szCs w:val="14"/>
          <w:color w:val="auto"/>
        </w:rPr>
        <w:t>- The $33 million or 2% decline in commercial loans was driven by $12 million of charge-offs taken, an increase in paydowns and $28 million of loans sold to a third-party.</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Energy</w:t>
      </w:r>
      <w:r>
        <w:rPr>
          <w:rFonts w:ascii="Arial" w:cs="Arial" w:eastAsia="Arial" w:hAnsi="Arial"/>
          <w:sz w:val="14"/>
          <w:szCs w:val="14"/>
          <w:b w:val="1"/>
          <w:bCs w:val="1"/>
          <w:color w:val="auto"/>
        </w:rPr>
        <w:t xml:space="preserve"> </w:t>
      </w:r>
      <w:r>
        <w:rPr>
          <w:rFonts w:ascii="Arial" w:cs="Arial" w:eastAsia="Arial" w:hAnsi="Arial"/>
          <w:sz w:val="14"/>
          <w:szCs w:val="14"/>
          <w:color w:val="auto"/>
        </w:rPr>
        <w:t>- Our energy portfolio decreased $49 million or 14% from December 31, 2020 to September 30, 2021 primarily due to paydowns on outstanding lines of credit.</w:t>
      </w:r>
    </w:p>
    <w:p>
      <w:pPr>
        <w:spacing w:after="0" w:line="159" w:lineRule="exact"/>
        <w:rPr>
          <w:sz w:val="20"/>
          <w:szCs w:val="20"/>
          <w:color w:val="auto"/>
        </w:rPr>
      </w:pPr>
    </w:p>
    <w:p>
      <w:pPr>
        <w:ind w:left="140" w:right="220"/>
        <w:spacing w:after="0" w:line="322" w:lineRule="auto"/>
        <w:rPr>
          <w:sz w:val="20"/>
          <w:szCs w:val="20"/>
          <w:color w:val="auto"/>
        </w:rPr>
      </w:pPr>
      <w:r>
        <w:rPr>
          <w:rFonts w:ascii="Arial" w:cs="Arial" w:eastAsia="Arial" w:hAnsi="Arial"/>
          <w:sz w:val="14"/>
          <w:szCs w:val="14"/>
          <w:b w:val="1"/>
          <w:bCs w:val="1"/>
          <w:u w:val="single" w:color="auto"/>
          <w:color w:val="auto"/>
        </w:rPr>
        <w:t>Commercial Real Estate and Construction and Land Development</w:t>
      </w:r>
      <w:r>
        <w:rPr>
          <w:rFonts w:ascii="Arial" w:cs="Arial" w:eastAsia="Arial" w:hAnsi="Arial"/>
          <w:sz w:val="14"/>
          <w:szCs w:val="14"/>
          <w:b w:val="1"/>
          <w:bCs w:val="1"/>
          <w:color w:val="auto"/>
        </w:rPr>
        <w:t xml:space="preserve"> </w:t>
      </w:r>
      <w:r>
        <w:rPr>
          <w:rFonts w:ascii="Arial" w:cs="Arial" w:eastAsia="Arial" w:hAnsi="Arial"/>
          <w:sz w:val="14"/>
          <w:szCs w:val="14"/>
          <w:color w:val="auto"/>
        </w:rPr>
        <w:t>- The $109 million or 6% increase was driven by strong originations and customer drawdowns on lines of</w:t>
      </w:r>
      <w:r>
        <w:rPr>
          <w:rFonts w:ascii="Arial" w:cs="Arial" w:eastAsia="Arial" w:hAnsi="Arial"/>
          <w:sz w:val="14"/>
          <w:szCs w:val="14"/>
          <w:b w:val="1"/>
          <w:bCs w:val="1"/>
          <w:color w:val="auto"/>
        </w:rPr>
        <w:t xml:space="preserve"> </w:t>
      </w:r>
      <w:r>
        <w:rPr>
          <w:rFonts w:ascii="Arial" w:cs="Arial" w:eastAsia="Arial" w:hAnsi="Arial"/>
          <w:sz w:val="14"/>
          <w:szCs w:val="14"/>
          <w:color w:val="auto"/>
        </w:rPr>
        <w:t>credit primarily for commercial projects.</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Residential and Multifamily Real Estate</w:t>
      </w:r>
      <w:r>
        <w:rPr>
          <w:rFonts w:ascii="Arial" w:cs="Arial" w:eastAsia="Arial" w:hAnsi="Arial"/>
          <w:sz w:val="14"/>
          <w:szCs w:val="14"/>
          <w:b w:val="1"/>
          <w:bCs w:val="1"/>
          <w:color w:val="auto"/>
        </w:rPr>
        <w:t xml:space="preserve"> </w:t>
      </w:r>
      <w:r>
        <w:rPr>
          <w:rFonts w:ascii="Arial" w:cs="Arial" w:eastAsia="Arial" w:hAnsi="Arial"/>
          <w:sz w:val="14"/>
          <w:szCs w:val="14"/>
          <w:color w:val="auto"/>
        </w:rPr>
        <w:t>- The $60 million or 9% decline was driven by payoffs of several, larger credit facilities.</w:t>
      </w:r>
    </w:p>
    <w:p>
      <w:pPr>
        <w:spacing w:after="0" w:line="163" w:lineRule="exact"/>
        <w:rPr>
          <w:sz w:val="20"/>
          <w:szCs w:val="20"/>
          <w:color w:val="auto"/>
        </w:rPr>
      </w:pPr>
    </w:p>
    <w:p>
      <w:pPr>
        <w:ind w:left="420" w:hanging="287"/>
        <w:spacing w:after="0"/>
        <w:tabs>
          <w:tab w:leader="none" w:pos="4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 PPP loans decreased $183 million or 63% from December 31, 2020 to September 30, 2021. PPP loan activity is detailed in the </w:t>
      </w:r>
      <w:hyperlink r:id="rId59">
        <w:r>
          <w:rPr>
            <w:rFonts w:ascii="Arial" w:cs="Arial" w:eastAsia="Arial" w:hAnsi="Arial"/>
            <w:sz w:val="13"/>
            <w:szCs w:val="13"/>
            <w:color w:val="auto"/>
          </w:rPr>
          <w:t xml:space="preserve">“Third Quarter 2021 Highlights” </w:t>
        </w:r>
      </w:hyperlink>
      <w:r>
        <w:rPr>
          <w:rFonts w:ascii="Arial" w:cs="Arial" w:eastAsia="Arial" w:hAnsi="Arial"/>
          <w:sz w:val="13"/>
          <w:szCs w:val="13"/>
          <w:color w:val="auto"/>
        </w:rPr>
        <w:t>section within</w:t>
      </w:r>
    </w:p>
    <w:p>
      <w:pPr>
        <w:spacing w:after="0" w:line="53" w:lineRule="exact"/>
        <w:rPr>
          <w:rFonts w:ascii="Arial" w:cs="Arial" w:eastAsia="Arial" w:hAnsi="Arial"/>
          <w:sz w:val="13"/>
          <w:szCs w:val="13"/>
          <w:color w:val="auto"/>
        </w:rPr>
      </w:pPr>
    </w:p>
    <w:p>
      <w:pPr>
        <w:ind w:left="140" w:right="180"/>
        <w:spacing w:after="0" w:line="316" w:lineRule="auto"/>
        <w:rPr>
          <w:rFonts w:ascii="Arial" w:cs="Arial" w:eastAsia="Arial" w:hAnsi="Arial"/>
          <w:sz w:val="13"/>
          <w:szCs w:val="13"/>
          <w:color w:val="auto"/>
        </w:rPr>
      </w:pPr>
      <w:r>
        <w:rPr>
          <w:rFonts w:ascii="Arial" w:cs="Arial" w:eastAsia="Arial" w:hAnsi="Arial"/>
          <w:sz w:val="14"/>
          <w:szCs w:val="14"/>
          <w:color w:val="auto"/>
        </w:rPr>
        <w:t>Management’s Discussion and Analysis. The loans are guaranteed by the SBA, earn interest at 1.00%, and include a fee. The PPP loans will decline as the SBA forgives the loans and provides repayment to the Bank.</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following table shows the contractual maturities of our gross loans and sensitivity to interest rate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0440"/>
          </w:cols>
          <w:pgMar w:left="780" w:top="406" w:right="6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202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71"/>
        </w:trPr>
        <w:tc>
          <w:tcPr>
            <w:tcW w:w="1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As of September 30, 2021</w:t>
            </w: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Due after One Year through</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Due after Five Years through</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109"/>
              <w:spacing w:after="0"/>
              <w:rPr>
                <w:sz w:val="20"/>
                <w:szCs w:val="20"/>
                <w:color w:val="auto"/>
              </w:rPr>
            </w:pPr>
            <w:r>
              <w:rPr>
                <w:rFonts w:ascii="Arial" w:cs="Arial" w:eastAsia="Arial" w:hAnsi="Arial"/>
                <w:sz w:val="14"/>
                <w:szCs w:val="14"/>
                <w:b w:val="1"/>
                <w:bCs w:val="1"/>
                <w:color w:val="auto"/>
                <w:w w:val="93"/>
              </w:rPr>
              <w:t>Due in One Year or Less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509"/>
              <w:spacing w:after="0"/>
              <w:rPr>
                <w:sz w:val="20"/>
                <w:szCs w:val="20"/>
                <w:color w:val="auto"/>
              </w:rPr>
            </w:pPr>
            <w:r>
              <w:rPr>
                <w:rFonts w:ascii="Arial" w:cs="Arial" w:eastAsia="Arial" w:hAnsi="Arial"/>
                <w:sz w:val="14"/>
                <w:szCs w:val="14"/>
                <w:b w:val="1"/>
                <w:bCs w:val="1"/>
                <w:color w:val="auto"/>
              </w:rPr>
              <w:t>Five Years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429"/>
              <w:spacing w:after="0"/>
              <w:rPr>
                <w:sz w:val="20"/>
                <w:szCs w:val="20"/>
                <w:color w:val="auto"/>
              </w:rPr>
            </w:pPr>
            <w:r>
              <w:rPr>
                <w:rFonts w:ascii="Arial" w:cs="Arial" w:eastAsia="Arial" w:hAnsi="Arial"/>
                <w:sz w:val="14"/>
                <w:szCs w:val="14"/>
                <w:b w:val="1"/>
                <w:bCs w:val="1"/>
                <w:color w:val="auto"/>
              </w:rPr>
              <w:t>Fifteen Years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129"/>
              <w:spacing w:after="0"/>
              <w:rPr>
                <w:sz w:val="20"/>
                <w:szCs w:val="20"/>
                <w:color w:val="auto"/>
              </w:rPr>
            </w:pPr>
            <w:r>
              <w:rPr>
                <w:rFonts w:ascii="Arial" w:cs="Arial" w:eastAsia="Arial" w:hAnsi="Arial"/>
                <w:sz w:val="14"/>
                <w:szCs w:val="14"/>
                <w:b w:val="1"/>
                <w:bCs w:val="1"/>
                <w:color w:val="auto"/>
                <w:w w:val="97"/>
              </w:rPr>
              <w:t>Due after Fifteen Years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Fixed Rate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Adjustable Rate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Fixed Rate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Adjustable Rate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Fixed Rate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Adjustable Rate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Fixed Rate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Adjustable Rate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173"/>
        </w:trPr>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8"/>
          </w:tcPr>
          <w:p>
            <w:pPr>
              <w:jc w:val="right"/>
              <w:ind w:right="169"/>
              <w:spacing w:after="0"/>
              <w:rPr>
                <w:sz w:val="20"/>
                <w:szCs w:val="20"/>
                <w:color w:val="auto"/>
              </w:rPr>
            </w:pPr>
            <w:r>
              <w:rPr>
                <w:rFonts w:ascii="Arial" w:cs="Arial" w:eastAsia="Arial" w:hAnsi="Arial"/>
                <w:sz w:val="13"/>
                <w:szCs w:val="13"/>
                <w:i w:val="1"/>
                <w:iCs w:val="1"/>
                <w:color w:val="auto"/>
              </w:rPr>
              <w:t>(Dollars in thousands)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40" w:type="dxa"/>
            <w:vAlign w:val="bottom"/>
          </w:tcPr>
          <w:p>
            <w:pPr>
              <w:spacing w:after="0"/>
              <w:rPr>
                <w:sz w:val="17"/>
                <w:szCs w:val="17"/>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60,715</w:t>
            </w: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282,092</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254,938</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604,032</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15,924</w:t>
            </w: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87,835</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1,305,536</w:t>
            </w:r>
          </w:p>
        </w:tc>
        <w:tc>
          <w:tcPr>
            <w:tcW w:w="20" w:type="dxa"/>
            <w:vAlign w:val="bottom"/>
            <w:shd w:val="clear" w:color="auto" w:fill="CCEEFF"/>
          </w:tcPr>
          <w:p>
            <w:pPr>
              <w:spacing w:after="0"/>
              <w:rPr>
                <w:sz w:val="17"/>
                <w:szCs w:val="17"/>
                <w:color w:val="auto"/>
              </w:rPr>
            </w:pPr>
          </w:p>
        </w:tc>
      </w:tr>
      <w:tr>
        <w:trPr>
          <w:trHeight w:val="181"/>
        </w:trPr>
        <w:tc>
          <w:tcPr>
            <w:tcW w:w="14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Energy</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79,516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10,232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206,494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296,365</w:t>
            </w:r>
          </w:p>
        </w:tc>
        <w:tc>
          <w:tcPr>
            <w:tcW w:w="20" w:type="dxa"/>
            <w:vAlign w:val="bottom"/>
          </w:tcPr>
          <w:p>
            <w:pPr>
              <w:spacing w:after="0"/>
              <w:rPr>
                <w:sz w:val="15"/>
                <w:szCs w:val="15"/>
                <w:color w:val="auto"/>
              </w:rPr>
            </w:pPr>
          </w:p>
        </w:tc>
      </w:tr>
      <w:tr>
        <w:trPr>
          <w:trHeight w:val="182"/>
        </w:trPr>
        <w:tc>
          <w:tcPr>
            <w:tcW w:w="140" w:type="dxa"/>
            <w:vAlign w:val="bottom"/>
          </w:tcPr>
          <w:p>
            <w:pPr>
              <w:spacing w:after="0"/>
              <w:rPr>
                <w:sz w:val="15"/>
                <w:szCs w:val="15"/>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100,854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106,795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326,161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404,293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85,820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235,222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1,266,694</w:t>
            </w:r>
          </w:p>
        </w:tc>
        <w:tc>
          <w:tcPr>
            <w:tcW w:w="20" w:type="dxa"/>
            <w:vAlign w:val="bottom"/>
            <w:shd w:val="clear" w:color="auto" w:fill="CCEEFF"/>
          </w:tcPr>
          <w:p>
            <w:pPr>
              <w:spacing w:after="0"/>
              <w:rPr>
                <w:sz w:val="15"/>
                <w:szCs w:val="15"/>
                <w:color w:val="auto"/>
              </w:rPr>
            </w:pPr>
          </w:p>
        </w:tc>
      </w:tr>
      <w:tr>
        <w:trPr>
          <w:trHeight w:val="170"/>
        </w:trPr>
        <w:tc>
          <w:tcPr>
            <w:tcW w:w="140" w:type="dxa"/>
            <w:vAlign w:val="bottom"/>
          </w:tcPr>
          <w:p>
            <w:pPr>
              <w:spacing w:after="0"/>
              <w:rPr>
                <w:sz w:val="14"/>
                <w:szCs w:val="14"/>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Construction and land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2020" w:type="dxa"/>
            <w:vAlign w:val="bottom"/>
            <w:gridSpan w:val="3"/>
          </w:tcPr>
          <w:p>
            <w:pPr>
              <w:ind w:left="120"/>
              <w:spacing w:after="0"/>
              <w:rPr>
                <w:sz w:val="20"/>
                <w:szCs w:val="20"/>
                <w:color w:val="auto"/>
              </w:rPr>
            </w:pPr>
            <w:r>
              <w:rPr>
                <w:rFonts w:ascii="Arial" w:cs="Arial" w:eastAsia="Arial" w:hAnsi="Arial"/>
                <w:sz w:val="14"/>
                <w:szCs w:val="14"/>
                <w:color w:val="auto"/>
              </w:rPr>
              <w:t>development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6,944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66,893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35,954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411,689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5,242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27,522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4,163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26,727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585,134</w:t>
            </w:r>
          </w:p>
        </w:tc>
        <w:tc>
          <w:tcPr>
            <w:tcW w:w="20" w:type="dxa"/>
            <w:vAlign w:val="bottom"/>
          </w:tcPr>
          <w:p>
            <w:pPr>
              <w:spacing w:after="0"/>
              <w:rPr>
                <w:sz w:val="16"/>
                <w:szCs w:val="16"/>
                <w:color w:val="auto"/>
              </w:rPr>
            </w:pPr>
          </w:p>
        </w:tc>
      </w:tr>
      <w:tr>
        <w:trPr>
          <w:trHeight w:val="171"/>
        </w:trPr>
        <w:tc>
          <w:tcPr>
            <w:tcW w:w="140" w:type="dxa"/>
            <w:vAlign w:val="bottom"/>
          </w:tcPr>
          <w:p>
            <w:pPr>
              <w:spacing w:after="0"/>
              <w:rPr>
                <w:sz w:val="14"/>
                <w:szCs w:val="14"/>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5"/>
              </w:rPr>
              <w:t>Residential and multifamily real</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92"/>
        </w:trPr>
        <w:tc>
          <w:tcPr>
            <w:tcW w:w="140" w:type="dxa"/>
            <w:vAlign w:val="bottom"/>
          </w:tcPr>
          <w:p>
            <w:pPr>
              <w:spacing w:after="0"/>
              <w:rPr>
                <w:sz w:val="16"/>
                <w:szCs w:val="16"/>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estate</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61,161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73,950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112,716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100,496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240,464</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620,877</w:t>
            </w:r>
          </w:p>
        </w:tc>
        <w:tc>
          <w:tcPr>
            <w:tcW w:w="20" w:type="dxa"/>
            <w:vAlign w:val="bottom"/>
            <w:shd w:val="clear" w:color="auto" w:fill="CCEEFF"/>
          </w:tcPr>
          <w:p>
            <w:pPr>
              <w:spacing w:after="0"/>
              <w:rPr>
                <w:sz w:val="16"/>
                <w:szCs w:val="16"/>
                <w:color w:val="auto"/>
              </w:rPr>
            </w:pPr>
          </w:p>
        </w:tc>
      </w:tr>
      <w:tr>
        <w:trPr>
          <w:trHeight w:val="181"/>
        </w:trPr>
        <w:tc>
          <w:tcPr>
            <w:tcW w:w="14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4"/>
                <w:szCs w:val="14"/>
                <w:color w:val="auto"/>
              </w:rPr>
              <w:t>PPP</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11,643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97,822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109,465</w:t>
            </w:r>
          </w:p>
        </w:tc>
        <w:tc>
          <w:tcPr>
            <w:tcW w:w="20" w:type="dxa"/>
            <w:vAlign w:val="bottom"/>
          </w:tcPr>
          <w:p>
            <w:pPr>
              <w:spacing w:after="0"/>
              <w:rPr>
                <w:sz w:val="15"/>
                <w:szCs w:val="15"/>
                <w:color w:val="auto"/>
              </w:rPr>
            </w:pPr>
          </w:p>
        </w:tc>
      </w:tr>
      <w:tr>
        <w:trPr>
          <w:trHeight w:val="171"/>
        </w:trPr>
        <w:tc>
          <w:tcPr>
            <w:tcW w:w="140" w:type="dxa"/>
            <w:vAlign w:val="bottom"/>
          </w:tcPr>
          <w:p>
            <w:pPr>
              <w:spacing w:after="0"/>
              <w:rPr>
                <w:sz w:val="14"/>
                <w:szCs w:val="14"/>
                <w:color w:val="auto"/>
              </w:rPr>
            </w:pPr>
          </w:p>
        </w:tc>
        <w:tc>
          <w:tcPr>
            <w:tcW w:w="1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Consumer</w:t>
            </w: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19,546</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11,116</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2,623</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5,478</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20,997</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62,113</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83"/>
        </w:trPr>
        <w:tc>
          <w:tcPr>
            <w:tcW w:w="140" w:type="dxa"/>
            <w:vAlign w:val="bottom"/>
          </w:tcPr>
          <w:p>
            <w:pPr>
              <w:spacing w:after="0"/>
              <w:rPr>
                <w:sz w:val="15"/>
                <w:szCs w:val="15"/>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color w:val="auto"/>
              </w:rPr>
              <w:t>Gross loans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223,226</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607,573</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801,680</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1,744,702</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207,482</w:t>
            </w:r>
          </w:p>
        </w:tc>
        <w:tc>
          <w:tcPr>
            <w:tcW w:w="520" w:type="dxa"/>
            <w:vAlign w:val="bottom"/>
            <w:gridSpan w:val="3"/>
          </w:tcPr>
          <w:p>
            <w:pPr>
              <w:jc w:val="right"/>
              <w:ind w:right="30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8"/>
              </w:rPr>
              <w:t>380,243</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4,185</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277,093</w:t>
            </w:r>
          </w:p>
        </w:tc>
        <w:tc>
          <w:tcPr>
            <w:tcW w:w="1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4,246,184</w:t>
            </w:r>
          </w:p>
        </w:tc>
        <w:tc>
          <w:tcPr>
            <w:tcW w:w="20" w:type="dxa"/>
            <w:vAlign w:val="bottom"/>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u w:val="single" w:color="auto"/>
          <w:color w:val="auto"/>
        </w:rPr>
        <w:t>Provision and Allowance for Loan Losses (“ALLL”)</w:t>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For the Quarter Ended</w:t>
            </w: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For the Nine Months Ended</w:t>
            </w:r>
          </w:p>
        </w:tc>
        <w:tc>
          <w:tcPr>
            <w:tcW w:w="20" w:type="dxa"/>
            <w:vAlign w:val="bottom"/>
          </w:tcPr>
          <w:p>
            <w:pPr>
              <w:spacing w:after="0"/>
              <w:rPr>
                <w:sz w:val="15"/>
                <w:szCs w:val="15"/>
                <w:color w:val="auto"/>
              </w:rPr>
            </w:pPr>
          </w:p>
        </w:tc>
      </w:tr>
      <w:tr>
        <w:trPr>
          <w:trHeight w:val="178"/>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9"/>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Provision for loan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7,500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10,875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10,875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45,825</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Arial" w:cs="Arial" w:eastAsia="Arial" w:hAnsi="Arial"/>
                <w:sz w:val="14"/>
                <w:szCs w:val="14"/>
                <w:color w:val="auto"/>
              </w:rPr>
              <w:t>Allowance for loan losses</w:t>
            </w:r>
          </w:p>
        </w:tc>
        <w:tc>
          <w:tcPr>
            <w:tcW w:w="100" w:type="dxa"/>
            <w:vAlign w:val="bottom"/>
          </w:tcPr>
          <w:p>
            <w:pPr>
              <w:spacing w:after="0"/>
              <w:rPr>
                <w:sz w:val="15"/>
                <w:szCs w:val="15"/>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64,152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75,493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74,551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75,295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76,035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64,152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76,035</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Net charge-offs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1,341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8,244</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11,615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6,025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12,143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26,686</w:t>
            </w:r>
          </w:p>
        </w:tc>
        <w:tc>
          <w:tcPr>
            <w:tcW w:w="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500"/>
          </w:cols>
          <w:pgMar w:left="780" w:top="395" w:right="619" w:bottom="1440" w:gutter="0" w:footer="0" w:header="0"/>
        </w:sectPr>
      </w:pPr>
    </w:p>
    <w:bookmarkStart w:id="50" w:name="page51"/>
    <w:bookmarkEnd w:id="50"/>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Refer to “Note 4: Loans and Allowance for Loan Losses (“ALLL”)” within the Notes to the Unaudited Consolidated Financial Statements for information regarding the</w:t>
      </w:r>
    </w:p>
    <w:p>
      <w:pPr>
        <w:spacing w:after="0" w:line="31" w:lineRule="exact"/>
        <w:rPr>
          <w:sz w:val="20"/>
          <w:szCs w:val="20"/>
          <w:color w:val="auto"/>
        </w:rPr>
      </w:pPr>
    </w:p>
    <w:p>
      <w:pPr>
        <w:ind w:left="140" w:right="40"/>
        <w:spacing w:after="0" w:line="300" w:lineRule="auto"/>
        <w:rPr>
          <w:sz w:val="20"/>
          <w:szCs w:val="20"/>
          <w:color w:val="auto"/>
        </w:rPr>
      </w:pPr>
      <w:r>
        <w:rPr>
          <w:rFonts w:ascii="Arial" w:cs="Arial" w:eastAsia="Arial" w:hAnsi="Arial"/>
          <w:sz w:val="14"/>
          <w:szCs w:val="14"/>
          <w:color w:val="auto"/>
        </w:rPr>
        <w:t>Company’s ALLL process. The ALLL at September 30, 2021 represents our best estimate of the incurred credit losses inherent in the loan portfolio at that date. The allocation in one portfolio segment does not preclude its availability to absorb losses in other segments. The table below presents the allocation of the allowance for loan losses as of the dates indicated:</w:t>
      </w:r>
    </w:p>
    <w:tbl>
      <w:tblPr>
        <w:tblLayout w:type="fixed"/>
        <w:tblInd w:w="2480" w:type="dxa"/>
        <w:tblCellMar>
          <w:top w:w="0" w:type="dxa"/>
          <w:left w:w="0" w:type="dxa"/>
          <w:bottom w:w="0" w:type="dxa"/>
          <w:right w:w="0" w:type="dxa"/>
        </w:tblCellMar>
      </w:tblPr>
      <w:tr>
        <w:trPr>
          <w:trHeight w:val="191"/>
        </w:trPr>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0"/>
              </w:rPr>
              <w:t>Percent of</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ind w:left="340"/>
              <w:spacing w:after="0" w:line="152" w:lineRule="exact"/>
              <w:rPr>
                <w:sz w:val="20"/>
                <w:szCs w:val="20"/>
                <w:color w:val="auto"/>
              </w:rPr>
            </w:pPr>
            <w:r>
              <w:rPr>
                <w:rFonts w:ascii="Arial" w:cs="Arial" w:eastAsia="Arial" w:hAnsi="Arial"/>
                <w:sz w:val="14"/>
                <w:szCs w:val="14"/>
                <w:b w:val="1"/>
                <w:bCs w:val="1"/>
                <w:color w:val="auto"/>
              </w:rPr>
              <w:t>Percent of</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0"/>
        </w:trPr>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Allowance to Total</w:t>
            </w:r>
          </w:p>
        </w:tc>
        <w:tc>
          <w:tcPr>
            <w:tcW w:w="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Loan</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Allowance to Total</w:t>
            </w:r>
          </w:p>
        </w:tc>
        <w:tc>
          <w:tcPr>
            <w:tcW w:w="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Percent of Loan</w:t>
            </w:r>
          </w:p>
        </w:tc>
      </w:tr>
      <w:tr>
        <w:trPr>
          <w:trHeight w:val="175"/>
        </w:trPr>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Allowance</w:t>
            </w:r>
          </w:p>
        </w:tc>
        <w:tc>
          <w:tcPr>
            <w:tcW w:w="8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Type to Total Loans</w:t>
            </w:r>
          </w:p>
        </w:tc>
        <w:tc>
          <w:tcPr>
            <w:tcW w:w="80" w:type="dxa"/>
            <w:vAlign w:val="bottom"/>
          </w:tcPr>
          <w:p>
            <w:pPr>
              <w:spacing w:after="0"/>
              <w:rPr>
                <w:sz w:val="15"/>
                <w:szCs w:val="15"/>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8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Type to Total Loans</w:t>
            </w:r>
          </w:p>
        </w:tc>
      </w:tr>
    </w:tbl>
    <w:p>
      <w:pPr>
        <w:spacing w:after="0" w:line="25" w:lineRule="exact"/>
        <w:rPr>
          <w:sz w:val="20"/>
          <w:szCs w:val="20"/>
          <w:color w:val="auto"/>
        </w:rPr>
      </w:pPr>
    </w:p>
    <w:p>
      <w:pPr>
        <w:ind w:left="5900"/>
        <w:spacing w:after="0"/>
        <w:rPr>
          <w:sz w:val="20"/>
          <w:szCs w:val="20"/>
          <w:color w:val="auto"/>
        </w:rPr>
      </w:pPr>
      <w:r>
        <w:rPr>
          <w:rFonts w:ascii="Arial" w:cs="Arial" w:eastAsia="Arial" w:hAnsi="Arial"/>
          <w:sz w:val="13"/>
          <w:szCs w:val="13"/>
          <w:i w:val="1"/>
          <w:iCs w:val="1"/>
          <w:color w:val="auto"/>
        </w:rPr>
        <w:t>(Dollars in thousands)</w:t>
      </w:r>
    </w:p>
    <w:p>
      <w:pPr>
        <w:sectPr>
          <w:pgSz w:w="11900" w:h="16838" w:orient="portrait"/>
          <w:cols w:equalWidth="0" w:num="1">
            <w:col w:w="10500"/>
          </w:cols>
          <w:pgMar w:left="780" w:top="406" w:right="619" w:bottom="1440" w:gutter="0" w:footer="0" w:header="0"/>
        </w:sectPr>
      </w:pPr>
    </w:p>
    <w:p>
      <w:pPr>
        <w:spacing w:after="0" w:line="49" w:lineRule="exact"/>
        <w:rPr>
          <w:sz w:val="20"/>
          <w:szCs w:val="20"/>
          <w:color w:val="auto"/>
        </w:rPr>
      </w:pPr>
    </w:p>
    <w:tbl>
      <w:tblPr>
        <w:tblLayout w:type="fixed"/>
        <w:tblInd w:w="160" w:type="dxa"/>
        <w:tblCellMar>
          <w:top w:w="0" w:type="dxa"/>
          <w:left w:w="0" w:type="dxa"/>
          <w:bottom w:w="0" w:type="dxa"/>
          <w:right w:w="0" w:type="dxa"/>
        </w:tblCellMar>
      </w:tblPr>
      <w:tr>
        <w:trPr>
          <w:trHeight w:val="32"/>
        </w:trPr>
        <w:tc>
          <w:tcPr>
            <w:tcW w:w="2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30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0" w:type="dxa"/>
            <w:vAlign w:val="bottom"/>
            <w:vMerge w:val="continue"/>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23,921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4"/>
                <w:szCs w:val="14"/>
                <w:color w:val="auto"/>
              </w:rPr>
              <w:t>Energy</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12,548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30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18,945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4"/>
                <w:szCs w:val="14"/>
                <w:color w:val="auto"/>
              </w:rPr>
              <w:t>Construction and land development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3,191</w:t>
            </w:r>
          </w:p>
        </w:tc>
        <w:tc>
          <w:tcPr>
            <w:tcW w:w="0" w:type="dxa"/>
            <w:vAlign w:val="bottom"/>
          </w:tcPr>
          <w:p>
            <w:pPr>
              <w:spacing w:after="0"/>
              <w:rPr>
                <w:sz w:val="1"/>
                <w:szCs w:val="1"/>
                <w:color w:val="auto"/>
              </w:rPr>
            </w:pPr>
          </w:p>
        </w:tc>
      </w:tr>
      <w:tr>
        <w:trPr>
          <w:trHeight w:val="43"/>
        </w:trPr>
        <w:tc>
          <w:tcPr>
            <w:tcW w:w="2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6"/>
              </w:rPr>
              <w:t>Residential and multifamily real estate</w:t>
            </w: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30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5,270</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4"/>
                <w:szCs w:val="14"/>
                <w:color w:val="auto"/>
              </w:rPr>
              <w:t>PPP</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Consumer</w:t>
            </w: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3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277</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300" w:type="dxa"/>
            <w:vAlign w:val="bottom"/>
          </w:tcPr>
          <w:p>
            <w:pPr>
              <w:ind w:left="100"/>
              <w:spacing w:after="0"/>
              <w:rPr>
                <w:sz w:val="20"/>
                <w:szCs w:val="20"/>
                <w:color w:val="auto"/>
              </w:rPr>
            </w:pPr>
            <w:r>
              <w:rPr>
                <w:rFonts w:ascii="Arial" w:cs="Arial" w:eastAsia="Arial" w:hAnsi="Arial"/>
                <w:sz w:val="14"/>
                <w:szCs w:val="14"/>
                <w:color w:val="auto"/>
              </w:rPr>
              <w:t>Gross loans</w:t>
            </w: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64,152</w:t>
            </w:r>
          </w:p>
        </w:tc>
        <w:tc>
          <w:tcPr>
            <w:tcW w:w="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 discussion of the changes in the ALLL is provided below:</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Charge-offs and Recoveries: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
        </w:trPr>
        <w:tc>
          <w:tcPr>
            <w:tcW w:w="300" w:type="dxa"/>
            <w:vAlign w:val="bottom"/>
            <w:vMerge w:val="restart"/>
          </w:tcPr>
          <w:p>
            <w:pPr>
              <w:jc w:val="right"/>
              <w:ind w:right="29"/>
              <w:spacing w:after="0"/>
              <w:rPr>
                <w:sz w:val="20"/>
                <w:szCs w:val="20"/>
                <w:color w:val="auto"/>
              </w:rPr>
            </w:pPr>
            <w:r>
              <w:rPr>
                <w:rFonts w:ascii="Arial" w:cs="Arial" w:eastAsia="Arial" w:hAnsi="Arial"/>
                <w:sz w:val="14"/>
                <w:szCs w:val="14"/>
                <w:color w:val="auto"/>
              </w:rPr>
              <w:t>37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4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 w:type="dxa"/>
            <w:vAlign w:val="bottom"/>
            <w:vMerge w:val="restart"/>
          </w:tcPr>
          <w:p>
            <w:pPr>
              <w:spacing w:after="0"/>
              <w:rPr>
                <w:sz w:val="2"/>
                <w:szCs w:val="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9"/>
                <w:shd w:val="clear" w:color="auto" w:fill="CCEEFF"/>
              </w:rPr>
              <w:t>%</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4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vMerge w:val="continue"/>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24,693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9"/>
                <w:shd w:val="clear" w:color="auto" w:fill="CCEEFF"/>
              </w:rPr>
              <w:t>%</w:t>
            </w:r>
          </w:p>
        </w:tc>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300" w:type="dxa"/>
            <w:vAlign w:val="bottom"/>
          </w:tcPr>
          <w:p>
            <w:pPr>
              <w:jc w:val="right"/>
              <w:ind w:right="2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18,341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center"/>
              <w:ind w:left="889"/>
              <w:spacing w:after="0"/>
              <w:rPr>
                <w:sz w:val="20"/>
                <w:szCs w:val="20"/>
                <w:color w:val="auto"/>
              </w:rPr>
            </w:pPr>
            <w:r>
              <w:rPr>
                <w:rFonts w:ascii="Arial" w:cs="Arial" w:eastAsia="Arial" w:hAnsi="Arial"/>
                <w:sz w:val="14"/>
                <w:szCs w:val="14"/>
                <w:color w:val="auto"/>
                <w:w w:val="76"/>
              </w:rPr>
              <w:t>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300" w:type="dxa"/>
            <w:vAlign w:val="bottom"/>
            <w:tcBorders>
              <w:right w:val="single" w:sz="8" w:color="CCEEFF"/>
            </w:tcBorders>
          </w:tcPr>
          <w:p>
            <w:pPr>
              <w:jc w:val="right"/>
              <w:ind w:right="29"/>
              <w:spacing w:after="0" w:line="139" w:lineRule="exact"/>
              <w:rPr>
                <w:sz w:val="20"/>
                <w:szCs w:val="20"/>
                <w:color w:val="auto"/>
              </w:rPr>
            </w:pPr>
            <w:r>
              <w:rPr>
                <w:rFonts w:ascii="Arial" w:cs="Arial" w:eastAsia="Arial" w:hAnsi="Arial"/>
                <w:sz w:val="14"/>
                <w:szCs w:val="14"/>
                <w:color w:val="auto"/>
              </w:rPr>
              <w:t>30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30</w:t>
            </w:r>
          </w:p>
        </w:tc>
        <w:tc>
          <w:tcPr>
            <w:tcW w:w="100" w:type="dxa"/>
            <w:vAlign w:val="bottom"/>
            <w:tcBorders>
              <w:right w:val="single" w:sz="8" w:color="CCEEFF"/>
            </w:tcBorders>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left w:val="single" w:sz="8" w:color="CCEEFF"/>
            </w:tcBorders>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22,354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Borders>
              <w:top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29</w:t>
            </w:r>
          </w:p>
        </w:tc>
        <w:tc>
          <w:tcPr>
            <w:tcW w:w="40" w:type="dxa"/>
            <w:vAlign w:val="bottom"/>
            <w:tcBorders>
              <w:right w:val="single" w:sz="8" w:color="CCEEFF"/>
            </w:tcBorders>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30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rPr>
              <w:t>3,612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300" w:type="dxa"/>
            <w:vAlign w:val="bottom"/>
            <w:tcBorders>
              <w:right w:val="single" w:sz="8" w:color="CCEEFF"/>
            </w:tcBorders>
          </w:tcPr>
          <w:p>
            <w:pPr>
              <w:jc w:val="right"/>
              <w:ind w:right="29"/>
              <w:spacing w:after="0" w:line="139" w:lineRule="exact"/>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w:t>
            </w:r>
          </w:p>
        </w:tc>
        <w:tc>
          <w:tcPr>
            <w:tcW w:w="100" w:type="dxa"/>
            <w:vAlign w:val="bottom"/>
            <w:tcBorders>
              <w:right w:val="single" w:sz="8" w:color="CCEEFF"/>
            </w:tcBorders>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left w:val="single" w:sz="8" w:color="CCEEFF"/>
            </w:tcBorders>
          </w:tcPr>
          <w:p>
            <w:pPr>
              <w:spacing w:after="0"/>
              <w:rPr>
                <w:sz w:val="12"/>
                <w:szCs w:val="12"/>
                <w:color w:val="auto"/>
              </w:rPr>
            </w:pPr>
          </w:p>
        </w:tc>
        <w:tc>
          <w:tcPr>
            <w:tcW w:w="10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5,842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Borders>
              <w:top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w:t>
            </w:r>
          </w:p>
        </w:tc>
        <w:tc>
          <w:tcPr>
            <w:tcW w:w="40" w:type="dxa"/>
            <w:vAlign w:val="bottom"/>
            <w:tcBorders>
              <w:right w:val="single" w:sz="8" w:color="CCEEFF"/>
            </w:tcBorders>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3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center"/>
              <w:ind w:left="889"/>
              <w:spacing w:after="0"/>
              <w:rPr>
                <w:sz w:val="20"/>
                <w:szCs w:val="20"/>
                <w:color w:val="auto"/>
              </w:rPr>
            </w:pPr>
            <w:r>
              <w:rPr>
                <w:rFonts w:ascii="Arial" w:cs="Arial" w:eastAsia="Arial" w:hAnsi="Arial"/>
                <w:sz w:val="14"/>
                <w:szCs w:val="14"/>
                <w:color w:val="auto"/>
                <w:w w:val="76"/>
              </w:rPr>
              <w:t>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00" w:type="dxa"/>
            <w:vAlign w:val="bottom"/>
            <w:tcBorders>
              <w:right w:val="single" w:sz="8" w:color="CCEEFF"/>
            </w:tcBorders>
          </w:tcPr>
          <w:p>
            <w:pPr>
              <w:jc w:val="right"/>
              <w:ind w:right="29"/>
              <w:spacing w:after="0" w:line="13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top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w:t>
            </w:r>
          </w:p>
        </w:tc>
        <w:tc>
          <w:tcPr>
            <w:tcW w:w="100" w:type="dxa"/>
            <w:vAlign w:val="bottom"/>
            <w:tcBorders>
              <w:right w:val="single" w:sz="8" w:color="CCEEFF"/>
            </w:tcBorders>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left w:val="single" w:sz="8" w:color="CCEEFF"/>
            </w:tcBorders>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453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Borders>
              <w:top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w:t>
            </w:r>
          </w:p>
        </w:tc>
        <w:tc>
          <w:tcPr>
            <w:tcW w:w="40" w:type="dxa"/>
            <w:vAlign w:val="bottom"/>
            <w:tcBorders>
              <w:right w:val="single" w:sz="8" w:color="CCEEFF"/>
            </w:tcBorders>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CCEEFF"/>
            </w:tcBorders>
            <w:shd w:val="clear" w:color="auto" w:fill="CCEEFF"/>
          </w:tcPr>
          <w:p>
            <w:pPr>
              <w:jc w:val="center"/>
              <w:ind w:left="889"/>
              <w:spacing w:after="0" w:line="139" w:lineRule="exact"/>
              <w:rPr>
                <w:sz w:val="20"/>
                <w:szCs w:val="20"/>
                <w:color w:val="auto"/>
              </w:rPr>
            </w:pPr>
            <w:r>
              <w:rPr>
                <w:rFonts w:ascii="Arial" w:cs="Arial" w:eastAsia="Arial" w:hAnsi="Arial"/>
                <w:sz w:val="14"/>
                <w:szCs w:val="14"/>
                <w:color w:val="auto"/>
                <w:w w:val="76"/>
              </w:rPr>
              <w:t>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00" w:type="dxa"/>
            <w:vAlign w:val="bottom"/>
          </w:tcPr>
          <w:p>
            <w:pPr>
              <w:jc w:val="right"/>
              <w:ind w:right="29"/>
              <w:spacing w:after="0"/>
              <w:rPr>
                <w:sz w:val="20"/>
                <w:szCs w:val="20"/>
                <w:color w:val="auto"/>
              </w:rPr>
            </w:pPr>
            <w:r>
              <w:rPr>
                <w:rFonts w:ascii="Arial" w:cs="Arial" w:eastAsia="Arial" w:hAnsi="Arial"/>
                <w:sz w:val="14"/>
                <w:szCs w:val="14"/>
                <w:color w:val="auto"/>
                <w:w w:val="76"/>
              </w:rPr>
              <w:t>100</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w w:val="79"/>
              </w:rPr>
              <w:t>%</w:t>
            </w:r>
          </w:p>
        </w:tc>
        <w:tc>
          <w:tcPr>
            <w:tcW w:w="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100</w:t>
            </w: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75,295</w:t>
            </w:r>
          </w:p>
        </w:tc>
        <w:tc>
          <w:tcPr>
            <w:tcW w:w="8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4"/>
          </w:tcPr>
          <w:p>
            <w:pPr>
              <w:jc w:val="center"/>
              <w:ind w:left="709"/>
              <w:spacing w:after="0"/>
              <w:rPr>
                <w:sz w:val="20"/>
                <w:szCs w:val="20"/>
                <w:color w:val="auto"/>
              </w:rPr>
            </w:pPr>
            <w:r>
              <w:rPr>
                <w:rFonts w:ascii="Arial" w:cs="Arial" w:eastAsia="Arial" w:hAnsi="Arial"/>
                <w:sz w:val="14"/>
                <w:szCs w:val="14"/>
                <w:color w:val="auto"/>
                <w:w w:val="96"/>
              </w:rPr>
              <w:t>100  %</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1" w:lineRule="exact"/>
        <w:rPr>
          <w:sz w:val="20"/>
          <w:szCs w:val="20"/>
          <w:color w:val="auto"/>
        </w:rPr>
      </w:pPr>
    </w:p>
    <w:p>
      <w:pPr>
        <w:sectPr>
          <w:pgSz w:w="11900" w:h="16838" w:orient="portrait"/>
          <w:cols w:equalWidth="0" w:num="2">
            <w:col w:w="3940" w:space="700"/>
            <w:col w:w="5860"/>
          </w:cols>
          <w:pgMar w:left="780" w:top="406" w:right="619" w:bottom="1440" w:gutter="0" w:footer="0" w:header="0"/>
          <w:type w:val="continuous"/>
        </w:sectPr>
      </w:pPr>
    </w:p>
    <w:p>
      <w:pPr>
        <w:ind w:left="140" w:right="60" w:firstLine="384"/>
        <w:spacing w:after="0" w:line="297" w:lineRule="auto"/>
        <w:rPr>
          <w:sz w:val="20"/>
          <w:szCs w:val="20"/>
          <w:color w:val="auto"/>
        </w:rPr>
      </w:pPr>
      <w:r>
        <w:rPr>
          <w:rFonts w:ascii="Arial" w:cs="Arial" w:eastAsia="Arial" w:hAnsi="Arial"/>
          <w:sz w:val="14"/>
          <w:szCs w:val="14"/>
          <w:color w:val="auto"/>
        </w:rPr>
        <w:t>During the three months ended September 30, 2021, charge-offs primarily related to one commercial loan and one energy loan. The energy charge-off related to the sale of collateral from a borrower that filed for bankruptcy in a previous year. Approximately $2 million remains on the energy loan at September 30, 2021. Recoveries totaled $234 thousand for the three months ended September 30, 2021 primarily from a commercial loan that was previously charged-off in 2020. During the three months ended June 30, 2021, charge-offs primarily related to a commercial borrower. During the three months ended March 31, 2021, charge-offs primarily related to two commercial borrowers that were unable to support their debt obligations.</w:t>
      </w:r>
    </w:p>
    <w:p>
      <w:pPr>
        <w:spacing w:after="0" w:line="113" w:lineRule="exact"/>
        <w:rPr>
          <w:sz w:val="20"/>
          <w:szCs w:val="20"/>
          <w:color w:val="auto"/>
        </w:rPr>
      </w:pPr>
    </w:p>
    <w:p>
      <w:pPr>
        <w:ind w:left="140" w:right="20" w:firstLine="384"/>
        <w:spacing w:after="0" w:line="325" w:lineRule="auto"/>
        <w:rPr>
          <w:sz w:val="20"/>
          <w:szCs w:val="20"/>
          <w:color w:val="auto"/>
        </w:rPr>
      </w:pPr>
      <w:r>
        <w:rPr>
          <w:rFonts w:ascii="Arial" w:cs="Arial" w:eastAsia="Arial" w:hAnsi="Arial"/>
          <w:sz w:val="13"/>
          <w:szCs w:val="13"/>
          <w:color w:val="auto"/>
        </w:rPr>
        <w:t>During the three months ended September 30, 2020, the Company charged-off $6 million related to a commercial loan as part of a restructuring plan. The majority of the charge-off was not previously reserved for resulting in an increase to the quarterly provision. For the three months ended June 30, 2020, the Company charged-off one energy loan that was classified for several years and accounted for most net charge-offs. For the three months ended March 31, 2020, net charge-offs included an $18 million charge-off related to a previously disclosed non-performing, commercial loan. The commercial loan had a specific reserve associated with it as of December 31, 2019, resulting in a limited impact to the first quarter 2020 provision. In addition, the Company charged off $1 million related to one oil exploration and production credit.</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below table provides the ratio of net charge-offs (recoveries) to average loans outstanding based on our loan categories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500"/>
          </w:cols>
          <w:pgMar w:left="780" w:top="406" w:right="61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2480" w:type="dxa"/>
            <w:vAlign w:val="bottom"/>
            <w:gridSpan w:val="4"/>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92"/>
        </w:trPr>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For the Quarter Ended</w:t>
            </w: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189"/>
              <w:spacing w:after="0"/>
              <w:rPr>
                <w:sz w:val="20"/>
                <w:szCs w:val="20"/>
                <w:color w:val="auto"/>
              </w:rPr>
            </w:pPr>
            <w:r>
              <w:rPr>
                <w:rFonts w:ascii="Arial" w:cs="Arial" w:eastAsia="Arial" w:hAnsi="Arial"/>
                <w:sz w:val="14"/>
                <w:szCs w:val="14"/>
                <w:b w:val="1"/>
                <w:bCs w:val="1"/>
                <w:color w:val="auto"/>
              </w:rPr>
              <w:t>For the Nine Months Ended</w:t>
            </w:r>
          </w:p>
        </w:tc>
        <w:tc>
          <w:tcPr>
            <w:tcW w:w="20" w:type="dxa"/>
            <w:vAlign w:val="bottom"/>
          </w:tcPr>
          <w:p>
            <w:pPr>
              <w:spacing w:after="0"/>
              <w:rPr>
                <w:sz w:val="24"/>
                <w:szCs w:val="24"/>
                <w:color w:val="auto"/>
              </w:rPr>
            </w:pPr>
          </w:p>
        </w:tc>
      </w:tr>
      <w:tr>
        <w:trPr>
          <w:trHeight w:val="176"/>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w w:val="98"/>
              </w:rPr>
              <w:t>September 30,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r>
      <w:tr>
        <w:trPr>
          <w:trHeight w:val="178"/>
        </w:trPr>
        <w:tc>
          <w:tcPr>
            <w:tcW w:w="120" w:type="dxa"/>
            <w:vAlign w:val="bottom"/>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60" w:type="dxa"/>
            <w:vAlign w:val="bottom"/>
            <w:gridSpan w:val="2"/>
          </w:tcPr>
          <w:p>
            <w:pPr>
              <w:spacing w:after="0"/>
              <w:rPr>
                <w:sz w:val="15"/>
                <w:szCs w:val="15"/>
                <w:color w:val="auto"/>
              </w:rPr>
            </w:pPr>
          </w:p>
        </w:tc>
        <w:tc>
          <w:tcPr>
            <w:tcW w:w="9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60" w:type="dxa"/>
            <w:vAlign w:val="bottom"/>
            <w:gridSpan w:val="2"/>
          </w:tcPr>
          <w:p>
            <w:pPr>
              <w:spacing w:after="0"/>
              <w:rPr>
                <w:sz w:val="15"/>
                <w:szCs w:val="15"/>
                <w:color w:val="auto"/>
              </w:rPr>
            </w:pPr>
          </w:p>
        </w:tc>
        <w:tc>
          <w:tcPr>
            <w:tcW w:w="94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60" w:type="dxa"/>
            <w:vAlign w:val="bottom"/>
            <w:gridSpan w:val="2"/>
          </w:tcPr>
          <w:p>
            <w:pPr>
              <w:spacing w:after="0"/>
              <w:rPr>
                <w:sz w:val="15"/>
                <w:szCs w:val="15"/>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92"/>
        </w:trPr>
        <w:tc>
          <w:tcPr>
            <w:tcW w:w="2480" w:type="dxa"/>
            <w:vAlign w:val="bottom"/>
            <w:gridSpan w:val="4"/>
          </w:tcPr>
          <w:p>
            <w:pPr>
              <w:ind w:left="120"/>
              <w:spacing w:after="0"/>
              <w:rPr>
                <w:sz w:val="20"/>
                <w:szCs w:val="20"/>
                <w:color w:val="auto"/>
              </w:rPr>
            </w:pPr>
            <w:r>
              <w:rPr>
                <w:rFonts w:ascii="Arial" w:cs="Arial" w:eastAsia="Arial" w:hAnsi="Arial"/>
                <w:sz w:val="14"/>
                <w:szCs w:val="14"/>
                <w:color w:val="auto"/>
              </w:rPr>
              <w:t>Energy</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0.64</w:t>
            </w:r>
          </w:p>
        </w:tc>
        <w:tc>
          <w:tcPr>
            <w:tcW w:w="16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w:t>
            </w:r>
          </w:p>
        </w:tc>
        <w:tc>
          <w:tcPr>
            <w:tcW w:w="16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0.20</w:t>
            </w:r>
          </w:p>
        </w:tc>
        <w:tc>
          <w:tcPr>
            <w:tcW w:w="1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0.74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140" w:type="dxa"/>
            <w:vAlign w:val="bottom"/>
            <w:gridSpan w:val="2"/>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2"/>
        </w:trPr>
        <w:tc>
          <w:tcPr>
            <w:tcW w:w="2480" w:type="dxa"/>
            <w:vAlign w:val="bottom"/>
            <w:gridSpan w:val="4"/>
          </w:tcPr>
          <w:p>
            <w:pPr>
              <w:ind w:left="120"/>
              <w:spacing w:after="0"/>
              <w:rPr>
                <w:sz w:val="20"/>
                <w:szCs w:val="20"/>
                <w:color w:val="auto"/>
              </w:rPr>
            </w:pPr>
            <w:r>
              <w:rPr>
                <w:rFonts w:ascii="Arial" w:cs="Arial" w:eastAsia="Arial" w:hAnsi="Arial"/>
                <w:sz w:val="14"/>
                <w:szCs w:val="14"/>
                <w:color w:val="auto"/>
              </w:rPr>
              <w:t>Construction and land development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140" w:type="dxa"/>
            <w:vAlign w:val="bottom"/>
            <w:gridSpan w:val="2"/>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Residential and multifamily real estate</w:t>
            </w: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16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2"/>
        </w:trPr>
        <w:tc>
          <w:tcPr>
            <w:tcW w:w="2480" w:type="dxa"/>
            <w:vAlign w:val="bottom"/>
            <w:gridSpan w:val="4"/>
          </w:tcPr>
          <w:p>
            <w:pPr>
              <w:ind w:left="120"/>
              <w:spacing w:after="0"/>
              <w:rPr>
                <w:sz w:val="20"/>
                <w:szCs w:val="20"/>
                <w:color w:val="auto"/>
              </w:rPr>
            </w:pPr>
            <w:r>
              <w:rPr>
                <w:rFonts w:ascii="Arial" w:cs="Arial" w:eastAsia="Arial" w:hAnsi="Arial"/>
                <w:sz w:val="14"/>
                <w:szCs w:val="14"/>
                <w:color w:val="auto"/>
              </w:rPr>
              <w:t>PPP</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140" w:type="dxa"/>
            <w:vAlign w:val="bottom"/>
            <w:gridSpan w:val="2"/>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w:t>
            </w:r>
          </w:p>
        </w:tc>
        <w:tc>
          <w:tcPr>
            <w:tcW w:w="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Borders>
              <w:bottom w:val="single" w:sz="8" w:color="auto"/>
            </w:tcBorders>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60" w:type="dxa"/>
            <w:vAlign w:val="bottom"/>
            <w:tcBorders>
              <w:bottom w:val="single" w:sz="8" w:color="auto"/>
            </w:tcBorders>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Borders>
              <w:bottom w:val="single" w:sz="8" w:color="auto"/>
            </w:tcBorders>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20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3"/>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color w:val="auto"/>
                <w:w w:val="94"/>
              </w:rPr>
              <w:t>Total net charge-offs to average loans</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0.13 %</w:t>
            </w:r>
          </w:p>
        </w:tc>
        <w:tc>
          <w:tcPr>
            <w:tcW w:w="1160" w:type="dxa"/>
            <w:vAlign w:val="bottom"/>
            <w:gridSpan w:val="4"/>
          </w:tcPr>
          <w:p>
            <w:pPr>
              <w:jc w:val="right"/>
              <w:spacing w:after="0"/>
              <w:rPr>
                <w:sz w:val="20"/>
                <w:szCs w:val="20"/>
                <w:color w:val="auto"/>
              </w:rPr>
            </w:pPr>
            <w:r>
              <w:rPr>
                <w:rFonts w:ascii="Arial" w:cs="Arial" w:eastAsia="Arial" w:hAnsi="Arial"/>
                <w:sz w:val="14"/>
                <w:szCs w:val="14"/>
                <w:color w:val="auto"/>
              </w:rPr>
              <w:t>0.23 %</w:t>
            </w:r>
          </w:p>
        </w:tc>
        <w:tc>
          <w:tcPr>
            <w:tcW w:w="1140" w:type="dxa"/>
            <w:vAlign w:val="bottom"/>
            <w:gridSpan w:val="4"/>
          </w:tcPr>
          <w:p>
            <w:pPr>
              <w:jc w:val="right"/>
              <w:spacing w:after="0"/>
              <w:rPr>
                <w:sz w:val="20"/>
                <w:szCs w:val="20"/>
                <w:color w:val="auto"/>
              </w:rPr>
            </w:pPr>
            <w:r>
              <w:rPr>
                <w:rFonts w:ascii="Arial" w:cs="Arial" w:eastAsia="Arial" w:hAnsi="Arial"/>
                <w:sz w:val="14"/>
                <w:szCs w:val="14"/>
                <w:color w:val="auto"/>
              </w:rPr>
              <w:t>0.74 %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1.03 %</w:t>
            </w:r>
          </w:p>
        </w:tc>
        <w:tc>
          <w:tcPr>
            <w:tcW w:w="1140" w:type="dxa"/>
            <w:vAlign w:val="bottom"/>
            <w:gridSpan w:val="4"/>
          </w:tcPr>
          <w:p>
            <w:pPr>
              <w:jc w:val="right"/>
              <w:spacing w:after="0"/>
              <w:rPr>
                <w:sz w:val="20"/>
                <w:szCs w:val="20"/>
                <w:color w:val="auto"/>
              </w:rPr>
            </w:pPr>
            <w:r>
              <w:rPr>
                <w:rFonts w:ascii="Arial" w:cs="Arial" w:eastAsia="Arial" w:hAnsi="Arial"/>
                <w:sz w:val="14"/>
                <w:szCs w:val="14"/>
                <w:color w:val="auto"/>
              </w:rPr>
              <w:t>0.54 %</w:t>
            </w:r>
          </w:p>
        </w:tc>
        <w:tc>
          <w:tcPr>
            <w:tcW w:w="1160" w:type="dxa"/>
            <w:vAlign w:val="bottom"/>
            <w:gridSpan w:val="5"/>
          </w:tcPr>
          <w:p>
            <w:pPr>
              <w:jc w:val="right"/>
              <w:spacing w:after="0"/>
              <w:rPr>
                <w:sz w:val="20"/>
                <w:szCs w:val="20"/>
                <w:color w:val="auto"/>
              </w:rPr>
            </w:pPr>
            <w:r>
              <w:rPr>
                <w:rFonts w:ascii="Arial" w:cs="Arial" w:eastAsia="Arial" w:hAnsi="Arial"/>
                <w:sz w:val="14"/>
                <w:szCs w:val="14"/>
                <w:color w:val="auto"/>
              </w:rPr>
              <w:t>0.37 %</w:t>
            </w:r>
          </w:p>
        </w:tc>
        <w:tc>
          <w:tcPr>
            <w:tcW w:w="1140" w:type="dxa"/>
            <w:vAlign w:val="bottom"/>
            <w:gridSpan w:val="4"/>
          </w:tcPr>
          <w:p>
            <w:pPr>
              <w:jc w:val="right"/>
              <w:spacing w:after="0"/>
              <w:rPr>
                <w:sz w:val="20"/>
                <w:szCs w:val="20"/>
                <w:color w:val="auto"/>
              </w:rPr>
            </w:pPr>
            <w:r>
              <w:rPr>
                <w:rFonts w:ascii="Arial" w:cs="Arial" w:eastAsia="Arial" w:hAnsi="Arial"/>
                <w:sz w:val="14"/>
                <w:szCs w:val="14"/>
                <w:color w:val="auto"/>
              </w:rPr>
              <w:t>0.84 %</w:t>
            </w: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260" w:hanging="137"/>
        <w:spacing w:after="0"/>
        <w:tabs>
          <w:tab w:leader="none" w:pos="26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Interim periods annualized.</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Impact of Risk Rating and Loan Balance Changes:</w:t>
      </w:r>
    </w:p>
    <w:p>
      <w:pPr>
        <w:spacing w:after="0" w:line="161" w:lineRule="exact"/>
        <w:rPr>
          <w:sz w:val="20"/>
          <w:szCs w:val="20"/>
          <w:color w:val="auto"/>
        </w:rPr>
      </w:pPr>
    </w:p>
    <w:p>
      <w:pPr>
        <w:jc w:val="both"/>
        <w:ind w:left="140" w:right="160" w:firstLine="384"/>
        <w:spacing w:after="0" w:line="309" w:lineRule="auto"/>
        <w:rPr>
          <w:sz w:val="20"/>
          <w:szCs w:val="20"/>
          <w:color w:val="auto"/>
        </w:rPr>
      </w:pPr>
      <w:r>
        <w:rPr>
          <w:rFonts w:ascii="Arial" w:cs="Arial" w:eastAsia="Arial" w:hAnsi="Arial"/>
          <w:sz w:val="14"/>
          <w:szCs w:val="14"/>
          <w:color w:val="auto"/>
        </w:rPr>
        <w:t>The Company upgraded approximately $109 million and $239 million of loans during the three-month and nine-month periods ended September 30, 2021, respectively, and downgraded $73 million and $137 million during the same, respective periods. Risk rating changes resulted in a $2 million and $5 million reduction in the required reserve for the three- and nine-month periods ended September 30, 2021, respectively.</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Changes in loan balances, including payoffs and originations, reduced the required reserve by $8 million between December 31, 2020 and September 30, 2021.</w:t>
      </w:r>
    </w:p>
    <w:p>
      <w:pPr>
        <w:spacing w:after="0" w:line="170" w:lineRule="exact"/>
        <w:rPr>
          <w:sz w:val="20"/>
          <w:szCs w:val="20"/>
          <w:color w:val="auto"/>
        </w:rPr>
      </w:pPr>
    </w:p>
    <w:p>
      <w:pPr>
        <w:ind w:left="140" w:right="20" w:firstLine="384"/>
        <w:spacing w:after="0" w:line="301" w:lineRule="auto"/>
        <w:rPr>
          <w:sz w:val="20"/>
          <w:szCs w:val="20"/>
          <w:color w:val="auto"/>
        </w:rPr>
      </w:pPr>
      <w:r>
        <w:rPr>
          <w:rFonts w:ascii="Arial" w:cs="Arial" w:eastAsia="Arial" w:hAnsi="Arial"/>
          <w:sz w:val="14"/>
          <w:szCs w:val="14"/>
          <w:color w:val="auto"/>
        </w:rPr>
        <w:t>Changes in the quantitative and qualitative factors on pass rated loans increased the allowance by approximately $600 thousand between December 31, 2020 and September 30, 2021. The increase was driven by the commercial loan portfolio that had elevated charge-offs over the past five quarters. The charge-offs impacted the commercial loan historical loss factor that resulted in a $2 million increase to the required reserve during the nine months ended September 30, 2021.</w:t>
      </w:r>
    </w:p>
    <w:p>
      <w:pPr>
        <w:spacing w:after="0" w:line="109" w:lineRule="exact"/>
        <w:rPr>
          <w:sz w:val="20"/>
          <w:szCs w:val="20"/>
          <w:color w:val="auto"/>
        </w:rPr>
      </w:pPr>
    </w:p>
    <w:p>
      <w:pPr>
        <w:ind w:left="140" w:right="120" w:firstLine="384"/>
        <w:spacing w:after="0" w:line="301" w:lineRule="auto"/>
        <w:rPr>
          <w:sz w:val="20"/>
          <w:szCs w:val="20"/>
          <w:color w:val="auto"/>
        </w:rPr>
      </w:pPr>
      <w:r>
        <w:rPr>
          <w:rFonts w:ascii="Arial" w:cs="Arial" w:eastAsia="Arial" w:hAnsi="Arial"/>
          <w:sz w:val="14"/>
          <w:szCs w:val="14"/>
          <w:color w:val="auto"/>
        </w:rPr>
        <w:t>The Company downgraded approximately $833 million of loans between December 31, 2019 and September 30, 2020, including $731 million in the second quarter of 2020, representing 17% of the June 30, 2020 loan portfolio. Downgrades primarily resulted from the COVID-19 pandemic, lower economic activity, and lower oil and gas prices. The energy, commercial and commercial real estate portfolios were significantly impacted.</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Impaired Loans and Other Factors:</w:t>
      </w:r>
    </w:p>
    <w:p>
      <w:pPr>
        <w:spacing w:after="0" w:line="161" w:lineRule="exact"/>
        <w:rPr>
          <w:sz w:val="20"/>
          <w:szCs w:val="20"/>
          <w:color w:val="auto"/>
        </w:rPr>
      </w:pPr>
    </w:p>
    <w:p>
      <w:pPr>
        <w:ind w:left="140" w:right="40" w:firstLine="384"/>
        <w:spacing w:after="0" w:line="301" w:lineRule="auto"/>
        <w:rPr>
          <w:sz w:val="20"/>
          <w:szCs w:val="20"/>
          <w:color w:val="auto"/>
        </w:rPr>
      </w:pPr>
      <w:r>
        <w:rPr>
          <w:rFonts w:ascii="Arial" w:cs="Arial" w:eastAsia="Arial" w:hAnsi="Arial"/>
          <w:sz w:val="14"/>
          <w:szCs w:val="14"/>
          <w:color w:val="auto"/>
        </w:rPr>
        <w:t>Impaired loans declined $27 million between December 31, 2020 and September 30, 2021, driven by $19 million of loans upgraded, including an $8 million loan upgraded due to an increase in capital, and a $10 million decline as a result of payments made by several borrowers offset by approximately $9 million of loans impaired during the nine months ended September 30, 2021. The remainder of the change related to loan paydowns and charge-offs. The reduction in impaired loans and related reserve reduced the ALLL by $2 million.</w:t>
      </w:r>
    </w:p>
    <w:p>
      <w:pPr>
        <w:spacing w:after="0" w:line="110" w:lineRule="exact"/>
        <w:rPr>
          <w:sz w:val="20"/>
          <w:szCs w:val="20"/>
          <w:color w:val="auto"/>
        </w:rPr>
      </w:pPr>
    </w:p>
    <w:p>
      <w:pPr>
        <w:ind w:left="140" w:right="140" w:firstLine="384"/>
        <w:spacing w:after="0" w:line="309" w:lineRule="auto"/>
        <w:rPr>
          <w:sz w:val="20"/>
          <w:szCs w:val="20"/>
          <w:color w:val="auto"/>
        </w:rPr>
      </w:pPr>
      <w:r>
        <w:rPr>
          <w:rFonts w:ascii="Arial" w:cs="Arial" w:eastAsia="Arial" w:hAnsi="Arial"/>
          <w:sz w:val="14"/>
          <w:szCs w:val="14"/>
          <w:color w:val="auto"/>
        </w:rPr>
        <w:t>For the nine-month period ended September 30, 2020, the impaired loan portfolio increased the ALLL by $2 million after taking out the impact of the charge-offs mentioned above. For the nine months ended September 30, 2020, changes in qualitative and quantitative rates on pass rated loans increased the ALLL by $5 million due to declines in economic activity and the COVID-19 pandemic.</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500"/>
          </w:cols>
          <w:pgMar w:left="780" w:top="395" w:right="619" w:bottom="1440" w:gutter="0" w:footer="0" w:header="0"/>
        </w:sectPr>
      </w:pPr>
    </w:p>
    <w:bookmarkStart w:id="52" w:name="page53"/>
    <w:bookmarkEnd w:id="52"/>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Nonperforming Assets and Other Asset Quality Metrics</w:t>
      </w:r>
    </w:p>
    <w:p>
      <w:pPr>
        <w:spacing w:after="0" w:line="161" w:lineRule="exact"/>
        <w:rPr>
          <w:sz w:val="20"/>
          <w:szCs w:val="20"/>
          <w:color w:val="auto"/>
        </w:rPr>
      </w:pPr>
    </w:p>
    <w:p>
      <w:pPr>
        <w:ind w:left="140" w:right="100" w:firstLine="384"/>
        <w:spacing w:after="0" w:line="309" w:lineRule="auto"/>
        <w:rPr>
          <w:sz w:val="20"/>
          <w:szCs w:val="20"/>
          <w:color w:val="auto"/>
        </w:rPr>
      </w:pPr>
      <w:r>
        <w:rPr>
          <w:rFonts w:ascii="Arial" w:cs="Arial" w:eastAsia="Arial" w:hAnsi="Arial"/>
          <w:sz w:val="14"/>
          <w:szCs w:val="14"/>
          <w:color w:val="auto"/>
        </w:rPr>
        <w:t>Nonperforming assets include: (i) nonperforming loans - includes non-accrual loans, loans past due 90 days or more and still accruing interest, and loans modified under troubled debt restructurings (“TDRs”) that are not performing in accordance with their modified terms; (ii) foreclosed assets held for sale; (iii) repossessed assets; and (iv) impaired debt securities.</w:t>
      </w:r>
    </w:p>
    <w:p>
      <w:pPr>
        <w:spacing w:after="0" w:line="104" w:lineRule="exact"/>
        <w:rPr>
          <w:sz w:val="20"/>
          <w:szCs w:val="20"/>
          <w:color w:val="auto"/>
        </w:rPr>
      </w:pPr>
    </w:p>
    <w:p>
      <w:pPr>
        <w:ind w:left="140" w:right="80" w:firstLine="384"/>
        <w:spacing w:after="0" w:line="316" w:lineRule="auto"/>
        <w:rPr>
          <w:sz w:val="20"/>
          <w:szCs w:val="20"/>
          <w:color w:val="auto"/>
        </w:rPr>
      </w:pPr>
      <w:r>
        <w:rPr>
          <w:rFonts w:ascii="Arial" w:cs="Arial" w:eastAsia="Arial" w:hAnsi="Arial"/>
          <w:sz w:val="14"/>
          <w:szCs w:val="14"/>
          <w:color w:val="auto"/>
        </w:rPr>
        <w:t>Nonaccrual loans declined $7 million during the quarter ended September 30, 2021 primarily due to $1.6 million in charge-offs related to nonaccrual loans, $3 million placed back on accrual and paydowns on several loans, offset by a few commercial loans placed on nonaccrual.</w:t>
      </w:r>
    </w:p>
    <w:p>
      <w:pPr>
        <w:spacing w:after="0" w:line="88" w:lineRule="exact"/>
        <w:rPr>
          <w:sz w:val="20"/>
          <w:szCs w:val="20"/>
          <w:color w:val="auto"/>
        </w:rPr>
      </w:pPr>
    </w:p>
    <w:p>
      <w:pPr>
        <w:ind w:left="140" w:right="320" w:firstLine="384"/>
        <w:spacing w:after="0" w:line="342" w:lineRule="auto"/>
        <w:rPr>
          <w:sz w:val="20"/>
          <w:szCs w:val="20"/>
          <w:color w:val="auto"/>
        </w:rPr>
      </w:pPr>
      <w:r>
        <w:rPr>
          <w:rFonts w:ascii="Arial" w:cs="Arial" w:eastAsia="Arial" w:hAnsi="Arial"/>
          <w:sz w:val="13"/>
          <w:szCs w:val="13"/>
          <w:color w:val="auto"/>
        </w:rPr>
        <w:t>Nonaccrual loans declined $9 million during the quarter ended June 30, 2021 primarily due to $6 million of loans placed back on accrual status due to payments made or being in the process of collection. In addition, two commercial loans were able to pay down their outstanding balance that decreased the nonaccrual total by $5 million. The reductions were offset by a $3 million commercial loan that matured in the first quarter of 2021 and for which the borrower was unable to make the required payments.</w:t>
      </w:r>
    </w:p>
    <w:p>
      <w:pPr>
        <w:spacing w:after="0" w:line="86" w:lineRule="exact"/>
        <w:rPr>
          <w:sz w:val="20"/>
          <w:szCs w:val="20"/>
          <w:color w:val="auto"/>
        </w:rPr>
      </w:pPr>
    </w:p>
    <w:p>
      <w:pPr>
        <w:ind w:left="140" w:right="60" w:firstLine="384"/>
        <w:spacing w:after="0" w:line="301" w:lineRule="auto"/>
        <w:rPr>
          <w:sz w:val="20"/>
          <w:szCs w:val="20"/>
          <w:color w:val="auto"/>
        </w:rPr>
      </w:pPr>
      <w:r>
        <w:rPr>
          <w:rFonts w:ascii="Arial" w:cs="Arial" w:eastAsia="Arial" w:hAnsi="Arial"/>
          <w:sz w:val="14"/>
          <w:szCs w:val="14"/>
          <w:color w:val="auto"/>
        </w:rPr>
        <w:t>Nonaccrual loans declined $12 million during the three months ended March 31, 2021 primarily due to one commercial real estate loan borrower that recapitalized its balance sheet and was placed back on accrual. In addition, several commercial borrowers were able to pay down a portion of the outstanding loan balance during the three months ended March 31, 2021. Nonaccrual energy loans increased slightly between December 31, 2020 and March 31, 2021 as oil and natural gas borrowers struggled from the effects of low oil and gas prices over the past year.</w:t>
      </w:r>
    </w:p>
    <w:p>
      <w:pPr>
        <w:spacing w:after="0" w:line="99" w:lineRule="exact"/>
        <w:rPr>
          <w:sz w:val="20"/>
          <w:szCs w:val="20"/>
          <w:color w:val="auto"/>
        </w:rPr>
      </w:pPr>
    </w:p>
    <w:p>
      <w:pPr>
        <w:ind w:left="140" w:right="400" w:firstLine="384"/>
        <w:spacing w:after="0" w:line="376" w:lineRule="auto"/>
        <w:rPr>
          <w:sz w:val="20"/>
          <w:szCs w:val="20"/>
          <w:color w:val="auto"/>
        </w:rPr>
      </w:pPr>
      <w:r>
        <w:rPr>
          <w:rFonts w:ascii="Arial" w:cs="Arial" w:eastAsia="Arial" w:hAnsi="Arial"/>
          <w:sz w:val="13"/>
          <w:szCs w:val="13"/>
          <w:color w:val="auto"/>
        </w:rPr>
        <w:t>During 2020, nonaccrual loans increased primarily from energy loans, impacted by low oil and natural gas prices, that did not meet the criteria to be modified under the CARES Act, several loans impacted by the COVID-19 pandemic and a commercial loan participation that was restructured in the fourth quarter of 2020.</w:t>
      </w:r>
    </w:p>
    <w:p>
      <w:pPr>
        <w:spacing w:after="0" w:line="54" w:lineRule="exact"/>
        <w:rPr>
          <w:sz w:val="20"/>
          <w:szCs w:val="20"/>
          <w:color w:val="auto"/>
        </w:rPr>
      </w:pPr>
    </w:p>
    <w:p>
      <w:pPr>
        <w:ind w:left="140" w:firstLine="384"/>
        <w:spacing w:after="0" w:line="316" w:lineRule="auto"/>
        <w:rPr>
          <w:sz w:val="20"/>
          <w:szCs w:val="20"/>
          <w:color w:val="auto"/>
        </w:rPr>
      </w:pPr>
      <w:r>
        <w:rPr>
          <w:rFonts w:ascii="Arial" w:cs="Arial" w:eastAsia="Arial" w:hAnsi="Arial"/>
          <w:sz w:val="14"/>
          <w:szCs w:val="14"/>
          <w:color w:val="auto"/>
        </w:rPr>
        <w:t>Foreclosed assets held-for-sale declined $570 thousand during the three-month period ended September 30, 2021 due to the sale of land and commercial real estate. During the three-month period ended June 30, 2021, the Company had previously recorded a $630 thousand write-down on this commercial property.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table below summarizes our nonperforming assets and related ratios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0480"/>
          </w:cols>
          <w:pgMar w:left="780" w:top="406" w:right="6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3200" w:type="dxa"/>
            <w:vAlign w:val="bottom"/>
            <w:gridSpan w:val="4"/>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97"/>
        </w:trPr>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5"/>
              </w:rPr>
              <w:t>For the Quarter Ended</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7"/>
                <w:szCs w:val="17"/>
                <w:color w:val="auto"/>
              </w:rPr>
            </w:pPr>
          </w:p>
        </w:tc>
        <w:tc>
          <w:tcPr>
            <w:tcW w:w="120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7"/>
                <w:szCs w:val="17"/>
                <w:color w:val="auto"/>
              </w:rPr>
            </w:pPr>
          </w:p>
        </w:tc>
      </w:tr>
      <w:tr>
        <w:trPr>
          <w:trHeight w:val="219"/>
        </w:trPr>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3"/>
                <w:szCs w:val="13"/>
                <w:i w:val="1"/>
                <w:iCs w:val="1"/>
                <w:color w:val="auto"/>
                <w:w w:val="91"/>
              </w:rPr>
              <w:t>(Dollars in thousands)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
        </w:trPr>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Nonaccrual loans</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48,147</w:t>
            </w:r>
          </w:p>
        </w:tc>
        <w:tc>
          <w:tcPr>
            <w:tcW w:w="160" w:type="dxa"/>
            <w:vAlign w:val="bottom"/>
            <w:shd w:val="clear" w:color="auto" w:fill="CCEEFF"/>
          </w:tcPr>
          <w:p>
            <w:pPr>
              <w:spacing w:after="0"/>
              <w:rPr>
                <w:sz w:val="15"/>
                <w:szCs w:val="15"/>
                <w:color w:val="auto"/>
              </w:rPr>
            </w:pPr>
          </w:p>
        </w:tc>
        <w:tc>
          <w:tcPr>
            <w:tcW w:w="2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54,652</w:t>
            </w:r>
          </w:p>
        </w:tc>
        <w:tc>
          <w:tcPr>
            <w:tcW w:w="140" w:type="dxa"/>
            <w:vAlign w:val="bottom"/>
            <w:shd w:val="clear" w:color="auto" w:fill="CCEEFF"/>
          </w:tcPr>
          <w:p>
            <w:pPr>
              <w:spacing w:after="0"/>
              <w:rPr>
                <w:sz w:val="15"/>
                <w:szCs w:val="15"/>
                <w:color w:val="auto"/>
              </w:rPr>
            </w:pPr>
          </w:p>
        </w:tc>
        <w:tc>
          <w:tcPr>
            <w:tcW w:w="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63,319</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75,051</w:t>
            </w:r>
          </w:p>
        </w:tc>
        <w:tc>
          <w:tcPr>
            <w:tcW w:w="1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75,560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120" w:type="dxa"/>
            <w:vAlign w:val="bottom"/>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w w:val="98"/>
              </w:rPr>
              <w:t>Loans past due 90 days or more and still accruing</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3,183</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4,324</w:t>
            </w:r>
          </w:p>
        </w:tc>
        <w:tc>
          <w:tcPr>
            <w:tcW w:w="20" w:type="dxa"/>
            <w:vAlign w:val="bottom"/>
          </w:tcPr>
          <w:p>
            <w:pPr>
              <w:spacing w:after="0"/>
              <w:rPr>
                <w:sz w:val="15"/>
                <w:szCs w:val="15"/>
                <w:color w:val="auto"/>
              </w:rPr>
            </w:pPr>
          </w:p>
        </w:tc>
      </w:tr>
      <w:tr>
        <w:trPr>
          <w:trHeight w:val="161"/>
        </w:trPr>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Total nonperforming loans</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48,489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56,428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66,502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76,075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79,884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1"/>
        </w:trPr>
        <w:tc>
          <w:tcPr>
            <w:tcW w:w="3200" w:type="dxa"/>
            <w:vAlign w:val="bottom"/>
            <w:gridSpan w:val="4"/>
          </w:tcPr>
          <w:p>
            <w:pPr>
              <w:ind w:left="120"/>
              <w:spacing w:after="0"/>
              <w:rPr>
                <w:sz w:val="20"/>
                <w:szCs w:val="20"/>
                <w:color w:val="auto"/>
              </w:rPr>
            </w:pPr>
            <w:r>
              <w:rPr>
                <w:rFonts w:ascii="Arial" w:cs="Arial" w:eastAsia="Arial" w:hAnsi="Arial"/>
                <w:sz w:val="14"/>
                <w:szCs w:val="14"/>
                <w:color w:val="auto"/>
              </w:rPr>
              <w:t>Foreclosed assets held for sale</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2,347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2,347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2,349</w:t>
            </w: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Total nonperforming assets</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49,637</w:t>
            </w:r>
          </w:p>
        </w:tc>
        <w:tc>
          <w:tcPr>
            <w:tcW w:w="160" w:type="dxa"/>
            <w:vAlign w:val="bottom"/>
            <w:shd w:val="clear" w:color="auto" w:fill="CCEEFF"/>
          </w:tcPr>
          <w:p>
            <w:pPr>
              <w:spacing w:after="0"/>
              <w:rPr>
                <w:sz w:val="14"/>
                <w:szCs w:val="14"/>
                <w:color w:val="auto"/>
              </w:rPr>
            </w:pPr>
          </w:p>
        </w:tc>
        <w:tc>
          <w:tcPr>
            <w:tcW w:w="2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58,146</w:t>
            </w:r>
          </w:p>
        </w:tc>
        <w:tc>
          <w:tcPr>
            <w:tcW w:w="140" w:type="dxa"/>
            <w:vAlign w:val="bottom"/>
            <w:shd w:val="clear" w:color="auto" w:fill="CCEEFF"/>
          </w:tcPr>
          <w:p>
            <w:pPr>
              <w:spacing w:after="0"/>
              <w:rPr>
                <w:sz w:val="14"/>
                <w:szCs w:val="14"/>
                <w:color w:val="auto"/>
              </w:rPr>
            </w:pPr>
          </w:p>
        </w:tc>
        <w:tc>
          <w:tcPr>
            <w:tcW w:w="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68,849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78,422</w:t>
            </w:r>
          </w:p>
        </w:tc>
        <w:tc>
          <w:tcPr>
            <w:tcW w:w="14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82,233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64"/>
        </w:trPr>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Arial" w:cs="Arial" w:eastAsia="Arial" w:hAnsi="Arial"/>
                <w:sz w:val="14"/>
                <w:szCs w:val="14"/>
                <w:color w:val="auto"/>
              </w:rPr>
              <w:t>ALLL to total loans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1.51 %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1.78 %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1.65 %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1.70 %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1.70 %</w:t>
            </w:r>
          </w:p>
        </w:tc>
        <w:tc>
          <w:tcPr>
            <w:tcW w:w="20" w:type="dxa"/>
            <w:vAlign w:val="bottom"/>
          </w:tcPr>
          <w:p>
            <w:pPr>
              <w:spacing w:after="0"/>
              <w:rPr>
                <w:sz w:val="14"/>
                <w:szCs w:val="14"/>
                <w:color w:val="auto"/>
              </w:rPr>
            </w:pPr>
          </w:p>
        </w:tc>
      </w:tr>
      <w:tr>
        <w:trPr>
          <w:trHeight w:val="182"/>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ALLL to nonaccrual loans</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Arial" w:cs="Arial" w:eastAsia="Arial" w:hAnsi="Arial"/>
                <w:sz w:val="14"/>
                <w:szCs w:val="14"/>
                <w:color w:val="auto"/>
              </w:rPr>
              <w:t>ALLL to nonperforming loans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133.79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112.10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98.98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95.18</w:t>
            </w:r>
          </w:p>
        </w:tc>
        <w:tc>
          <w:tcPr>
            <w:tcW w:w="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Nonaccrual loans to total loans</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2"/>
          </w:tcPr>
          <w:p>
            <w:pPr>
              <w:ind w:left="80"/>
              <w:spacing w:after="0"/>
              <w:rPr>
                <w:sz w:val="20"/>
                <w:szCs w:val="20"/>
                <w:color w:val="auto"/>
              </w:rPr>
            </w:pPr>
            <w:r>
              <w:rPr>
                <w:rFonts w:ascii="Arial" w:cs="Arial" w:eastAsia="Arial" w:hAnsi="Arial"/>
                <w:sz w:val="14"/>
                <w:szCs w:val="14"/>
                <w:color w:val="auto"/>
              </w:rPr>
              <w:t>Nonperforming loans to total loans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Nonperforming assets to total assets</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500"/>
          </w:cols>
          <w:pgMar w:left="780" w:top="395" w:right="619" w:bottom="1440" w:gutter="0" w:footer="0" w:header="0"/>
        </w:sectPr>
      </w:pPr>
    </w:p>
    <w:bookmarkStart w:id="54" w:name="page55"/>
    <w:bookmarkEnd w:id="54"/>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140" w:right="180" w:firstLine="384"/>
        <w:spacing w:after="0" w:line="296" w:lineRule="auto"/>
        <w:rPr>
          <w:sz w:val="20"/>
          <w:szCs w:val="20"/>
          <w:color w:val="auto"/>
        </w:rPr>
      </w:pPr>
      <w:r>
        <w:rPr>
          <w:rFonts w:ascii="Arial" w:cs="Arial" w:eastAsia="Arial" w:hAnsi="Arial"/>
          <w:sz w:val="14"/>
          <w:szCs w:val="14"/>
          <w:color w:val="auto"/>
        </w:rPr>
        <w:t>Other asset quality metrics management reviews include loans past due 30 - 89 days and classified loans. The Company defines classified loans as loans categorized as substandard - performing, substandard - nonperforming, doubtful, or loss. The definitions of substandard, doubtful and loss are provided in “Note 4 Loans and Allowance for Loan Losses” in the Notes to the Unaudited Consolidated Financial Statements. The following table summarizes our loans past due 30 - 89 days, classified assets and related ratios as of the dates indicated:</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Loan Past Due Detail</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20" w:type="dxa"/>
            <w:vAlign w:val="bottom"/>
            <w:gridSpan w:val="3"/>
          </w:tcPr>
          <w:p>
            <w:pPr>
              <w:ind w:left="80"/>
              <w:spacing w:after="0"/>
              <w:rPr>
                <w:sz w:val="20"/>
                <w:szCs w:val="20"/>
                <w:color w:val="auto"/>
              </w:rPr>
            </w:pPr>
            <w:r>
              <w:rPr>
                <w:rFonts w:ascii="Arial" w:cs="Arial" w:eastAsia="Arial" w:hAnsi="Arial"/>
                <w:sz w:val="14"/>
                <w:szCs w:val="14"/>
                <w:color w:val="auto"/>
              </w:rPr>
              <w:t>30 - 59 days past due</w:t>
            </w: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3,072</w:t>
            </w:r>
          </w:p>
        </w:tc>
        <w:tc>
          <w:tcPr>
            <w:tcW w:w="160" w:type="dxa"/>
            <w:vAlign w:val="bottom"/>
          </w:tcPr>
          <w:p>
            <w:pPr>
              <w:spacing w:after="0"/>
              <w:rPr>
                <w:sz w:val="15"/>
                <w:szCs w:val="15"/>
                <w:color w:val="auto"/>
              </w:rPr>
            </w:pPr>
          </w:p>
        </w:tc>
        <w:tc>
          <w:tcPr>
            <w:tcW w:w="22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18,758</w:t>
            </w:r>
          </w:p>
        </w:tc>
        <w:tc>
          <w:tcPr>
            <w:tcW w:w="340" w:type="dxa"/>
            <w:vAlign w:val="bottom"/>
            <w:gridSpan w:val="6"/>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10,583</w:t>
            </w:r>
          </w:p>
        </w:tc>
        <w:tc>
          <w:tcPr>
            <w:tcW w:w="160" w:type="dxa"/>
            <w:vAlign w:val="bottom"/>
          </w:tcPr>
          <w:p>
            <w:pPr>
              <w:spacing w:after="0"/>
              <w:rPr>
                <w:sz w:val="15"/>
                <w:szCs w:val="15"/>
                <w:color w:val="auto"/>
              </w:rPr>
            </w:pPr>
          </w:p>
        </w:tc>
        <w:tc>
          <w:tcPr>
            <w:tcW w:w="22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10,137</w:t>
            </w:r>
          </w:p>
        </w:tc>
        <w:tc>
          <w:tcPr>
            <w:tcW w:w="140" w:type="dxa"/>
            <w:vAlign w:val="bottom"/>
          </w:tcPr>
          <w:p>
            <w:pPr>
              <w:spacing w:after="0"/>
              <w:rPr>
                <w:sz w:val="15"/>
                <w:szCs w:val="15"/>
                <w:color w:val="auto"/>
              </w:rPr>
            </w:pPr>
          </w:p>
        </w:tc>
        <w:tc>
          <w:tcPr>
            <w:tcW w:w="22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15,324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60 - 89 days past due</w:t>
            </w:r>
          </w:p>
        </w:tc>
        <w:tc>
          <w:tcPr>
            <w:tcW w:w="4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34,528</w:t>
            </w:r>
          </w:p>
        </w:tc>
        <w:tc>
          <w:tcPr>
            <w:tcW w:w="1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7,941</w:t>
            </w: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30,027</w:t>
            </w:r>
          </w:p>
        </w:tc>
        <w:tc>
          <w:tcPr>
            <w:tcW w:w="1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2"/>
          </w:tcPr>
          <w:p>
            <w:pPr>
              <w:ind w:left="100"/>
              <w:spacing w:after="0"/>
              <w:rPr>
                <w:sz w:val="20"/>
                <w:szCs w:val="20"/>
                <w:color w:val="auto"/>
              </w:rPr>
            </w:pPr>
            <w:r>
              <w:rPr>
                <w:rFonts w:ascii="Arial" w:cs="Arial" w:eastAsia="Arial" w:hAnsi="Arial"/>
                <w:sz w:val="14"/>
                <w:szCs w:val="14"/>
                <w:color w:val="auto"/>
              </w:rPr>
              <w:t>Total 30 - 89 days past due</w:t>
            </w: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37,600</w:t>
            </w:r>
          </w:p>
        </w:tc>
        <w:tc>
          <w:tcPr>
            <w:tcW w:w="160" w:type="dxa"/>
            <w:vAlign w:val="bottom"/>
          </w:tcPr>
          <w:p>
            <w:pPr>
              <w:spacing w:after="0"/>
              <w:rPr>
                <w:sz w:val="21"/>
                <w:szCs w:val="21"/>
                <w:color w:val="auto"/>
              </w:rPr>
            </w:pPr>
          </w:p>
        </w:tc>
        <w:tc>
          <w:tcPr>
            <w:tcW w:w="22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18,768</w:t>
            </w:r>
          </w:p>
        </w:tc>
        <w:tc>
          <w:tcPr>
            <w:tcW w:w="340" w:type="dxa"/>
            <w:vAlign w:val="bottom"/>
            <w:gridSpan w:val="6"/>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10,986</w:t>
            </w:r>
          </w:p>
        </w:tc>
        <w:tc>
          <w:tcPr>
            <w:tcW w:w="160" w:type="dxa"/>
            <w:vAlign w:val="bottom"/>
          </w:tcPr>
          <w:p>
            <w:pPr>
              <w:spacing w:after="0"/>
              <w:rPr>
                <w:sz w:val="21"/>
                <w:szCs w:val="21"/>
                <w:color w:val="auto"/>
              </w:rPr>
            </w:pPr>
          </w:p>
        </w:tc>
        <w:tc>
          <w:tcPr>
            <w:tcW w:w="22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18,078</w:t>
            </w:r>
          </w:p>
        </w:tc>
        <w:tc>
          <w:tcPr>
            <w:tcW w:w="140" w:type="dxa"/>
            <w:vAlign w:val="bottom"/>
          </w:tcPr>
          <w:p>
            <w:pPr>
              <w:spacing w:after="0"/>
              <w:rPr>
                <w:sz w:val="21"/>
                <w:szCs w:val="21"/>
                <w:color w:val="auto"/>
              </w:rPr>
            </w:pPr>
          </w:p>
        </w:tc>
        <w:tc>
          <w:tcPr>
            <w:tcW w:w="22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45,351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74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4"/>
                <w:szCs w:val="14"/>
                <w:color w:val="auto"/>
              </w:rPr>
              <w:t>Loans 30 - 89 days past due / gross loans</w:t>
            </w:r>
          </w:p>
        </w:tc>
        <w:tc>
          <w:tcPr>
            <w:tcW w:w="4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0.89</w:t>
            </w:r>
          </w:p>
        </w:tc>
        <w:tc>
          <w:tcPr>
            <w:tcW w:w="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0.44</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9"/>
              </w:rPr>
              <w:t>%</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0.24</w:t>
            </w:r>
          </w:p>
        </w:tc>
        <w:tc>
          <w:tcPr>
            <w:tcW w:w="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0.41</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9"/>
              </w:rPr>
              <w:t>%</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1.01</w:t>
            </w:r>
          </w:p>
        </w:tc>
        <w:tc>
          <w:tcPr>
            <w:tcW w:w="1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40" w:type="dxa"/>
            <w:vAlign w:val="bottom"/>
            <w:gridSpan w:val="4"/>
          </w:tcPr>
          <w:p>
            <w:pPr>
              <w:spacing w:after="0"/>
              <w:rPr>
                <w:sz w:val="20"/>
                <w:szCs w:val="20"/>
                <w:color w:val="auto"/>
              </w:rPr>
            </w:pPr>
            <w:r>
              <w:rPr>
                <w:rFonts w:ascii="Arial" w:cs="Arial" w:eastAsia="Arial" w:hAnsi="Arial"/>
                <w:sz w:val="14"/>
                <w:szCs w:val="14"/>
                <w:b w:val="1"/>
                <w:bCs w:val="1"/>
                <w:color w:val="auto"/>
              </w:rPr>
              <w:t>Classified Loans</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Substandard - performing</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75,999</w:t>
            </w:r>
          </w:p>
        </w:tc>
        <w:tc>
          <w:tcPr>
            <w:tcW w:w="160" w:type="dxa"/>
            <w:vAlign w:val="bottom"/>
            <w:shd w:val="clear" w:color="auto" w:fill="CCEEFF"/>
          </w:tcPr>
          <w:p>
            <w:pPr>
              <w:spacing w:after="0"/>
              <w:rPr>
                <w:sz w:val="15"/>
                <w:szCs w:val="15"/>
                <w:color w:val="auto"/>
              </w:rPr>
            </w:pPr>
          </w:p>
        </w:tc>
        <w:tc>
          <w:tcPr>
            <w:tcW w:w="2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116,078</w:t>
            </w:r>
          </w:p>
        </w:tc>
        <w:tc>
          <w:tcPr>
            <w:tcW w:w="40" w:type="dxa"/>
            <w:vAlign w:val="bottom"/>
            <w:shd w:val="clear" w:color="auto" w:fill="CCEEFF"/>
          </w:tcPr>
          <w:p>
            <w:pPr>
              <w:spacing w:after="0"/>
              <w:rPr>
                <w:sz w:val="15"/>
                <w:szCs w:val="15"/>
                <w:color w:val="auto"/>
              </w:rPr>
            </w:pPr>
          </w:p>
        </w:tc>
        <w:tc>
          <w:tcPr>
            <w:tcW w:w="3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205,560</w:t>
            </w:r>
          </w:p>
        </w:tc>
        <w:tc>
          <w:tcPr>
            <w:tcW w:w="160" w:type="dxa"/>
            <w:vAlign w:val="bottom"/>
            <w:shd w:val="clear" w:color="auto" w:fill="CCEEFF"/>
          </w:tcPr>
          <w:p>
            <w:pPr>
              <w:spacing w:after="0"/>
              <w:rPr>
                <w:sz w:val="15"/>
                <w:szCs w:val="15"/>
                <w:color w:val="auto"/>
              </w:rPr>
            </w:pPr>
          </w:p>
        </w:tc>
        <w:tc>
          <w:tcPr>
            <w:tcW w:w="2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211,008</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224,352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20" w:type="dxa"/>
            <w:vAlign w:val="bottom"/>
            <w:gridSpan w:val="3"/>
          </w:tcPr>
          <w:p>
            <w:pPr>
              <w:ind w:left="80"/>
              <w:spacing w:after="0"/>
              <w:rPr>
                <w:sz w:val="20"/>
                <w:szCs w:val="20"/>
                <w:color w:val="auto"/>
              </w:rPr>
            </w:pPr>
            <w:r>
              <w:rPr>
                <w:rFonts w:ascii="Arial" w:cs="Arial" w:eastAsia="Arial" w:hAnsi="Arial"/>
                <w:sz w:val="14"/>
                <w:szCs w:val="14"/>
                <w:color w:val="auto"/>
              </w:rPr>
              <w:t>Substandard - nonperforming</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45,063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49,300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57,967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70,734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67,765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Doubtful</w:t>
            </w: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5,352</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4,315</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292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Loss</w:t>
            </w:r>
          </w:p>
        </w:tc>
        <w:tc>
          <w:tcPr>
            <w:tcW w:w="4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Total classified loans</w:t>
            </w: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124,146</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170,730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268,879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286,057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299,911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292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Foreclosed assets held for sale</w:t>
            </w:r>
          </w:p>
        </w:tc>
        <w:tc>
          <w:tcPr>
            <w:tcW w:w="4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1,718</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2,347</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2,347</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2,349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classified assets</w:t>
            </w: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125,294</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172,448</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271,226</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288,404</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302,260</w:t>
            </w:r>
          </w:p>
        </w:tc>
        <w:tc>
          <w:tcPr>
            <w:tcW w:w="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2"/>
            <w:vMerge w:val="restart"/>
          </w:tcPr>
          <w:p>
            <w:pPr>
              <w:ind w:left="100"/>
              <w:spacing w:after="0"/>
              <w:rPr>
                <w:sz w:val="20"/>
                <w:szCs w:val="20"/>
                <w:color w:val="auto"/>
              </w:rPr>
            </w:pPr>
            <w:r>
              <w:rPr>
                <w:rFonts w:ascii="Arial" w:cs="Arial" w:eastAsia="Arial" w:hAnsi="Arial"/>
                <w:sz w:val="14"/>
                <w:szCs w:val="14"/>
                <w:color w:val="auto"/>
              </w:rPr>
              <w:t>Classified loans / (total capital + ALLL)</w:t>
            </w: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17.3 %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24.0</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38.2 %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40.9</w:t>
            </w:r>
          </w:p>
        </w:tc>
        <w:tc>
          <w:tcPr>
            <w:tcW w:w="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43.2</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Classified assets / (total capital + ALLL)</w:t>
            </w: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40" w:right="120" w:firstLine="384"/>
        <w:spacing w:after="0" w:line="309" w:lineRule="auto"/>
        <w:rPr>
          <w:sz w:val="20"/>
          <w:szCs w:val="20"/>
          <w:color w:val="auto"/>
        </w:rPr>
      </w:pPr>
      <w:r>
        <w:rPr>
          <w:rFonts w:ascii="Arial" w:cs="Arial" w:eastAsia="Arial" w:hAnsi="Arial"/>
          <w:sz w:val="14"/>
          <w:szCs w:val="14"/>
          <w:color w:val="auto"/>
        </w:rPr>
        <w:t>The Company’s classified assets as of September 30, 2021 declined $47 million since June 30, 2021. The decline was driven by $25 million in energy loans upgraded and $2 million in energy paydowns because of improved oil prices. In addition, $18 million of commercial and commercial real estate loans were upgraded due to improved market conditions.</w:t>
      </w:r>
    </w:p>
    <w:p>
      <w:pPr>
        <w:spacing w:after="0" w:line="104" w:lineRule="exact"/>
        <w:rPr>
          <w:sz w:val="20"/>
          <w:szCs w:val="20"/>
          <w:color w:val="auto"/>
        </w:rPr>
      </w:pPr>
    </w:p>
    <w:p>
      <w:pPr>
        <w:jc w:val="both"/>
        <w:ind w:left="140" w:right="160" w:firstLine="384"/>
        <w:spacing w:after="0" w:line="301" w:lineRule="auto"/>
        <w:rPr>
          <w:sz w:val="20"/>
          <w:szCs w:val="20"/>
          <w:color w:val="auto"/>
        </w:rPr>
      </w:pPr>
      <w:r>
        <w:rPr>
          <w:rFonts w:ascii="Arial" w:cs="Arial" w:eastAsia="Arial" w:hAnsi="Arial"/>
          <w:sz w:val="14"/>
          <w:szCs w:val="14"/>
          <w:color w:val="auto"/>
        </w:rPr>
        <w:t>The Company's classified assets as of June 30, 2021 declined $99 million since March 31, 2021. The decline was driven by $18 million in loan payoffs, $56 million in loans upgraded, $35 million in pay downs partially offset by $11 million of new or increased loan balances. The decrease in classified assets was primarily related to commercial, energy and commercial real estate loans that improved due to better economic conditions.</w:t>
      </w:r>
    </w:p>
    <w:p>
      <w:pPr>
        <w:spacing w:after="0" w:line="109" w:lineRule="exact"/>
        <w:rPr>
          <w:sz w:val="20"/>
          <w:szCs w:val="20"/>
          <w:color w:val="auto"/>
        </w:rPr>
      </w:pPr>
    </w:p>
    <w:p>
      <w:pPr>
        <w:ind w:left="140" w:right="60" w:firstLine="384"/>
        <w:spacing w:after="0" w:line="309" w:lineRule="auto"/>
        <w:rPr>
          <w:sz w:val="20"/>
          <w:szCs w:val="20"/>
          <w:color w:val="auto"/>
        </w:rPr>
      </w:pPr>
      <w:r>
        <w:rPr>
          <w:rFonts w:ascii="Arial" w:cs="Arial" w:eastAsia="Arial" w:hAnsi="Arial"/>
          <w:sz w:val="14"/>
          <w:szCs w:val="14"/>
          <w:color w:val="auto"/>
        </w:rPr>
        <w:t>The Company's classified assets as of March 31, 2021 decreased $17 million from December 31, 2020. The decline was driven by $30 million of commercial and commercial real estate loans upgraded due to improvements in the borrowers’ capital structure and $8 million in paydowns from classified loans, offset by an increase of approximately $21 million in downgraded loans, primarily from our energy and commercial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0500"/>
          </w:cols>
          <w:pgMar w:left="780" w:top="406" w:right="619" w:bottom="1440" w:gutter="0" w:footer="0" w:header="0"/>
        </w:sectPr>
      </w:pPr>
    </w:p>
    <w:bookmarkStart w:id="55" w:name="page56"/>
    <w:bookmarkEnd w:id="55"/>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4"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Deposits and Other Borrowings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the maturity of time deposits as of September 30, 2021:</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8"/>
          </w:tcPr>
          <w:p>
            <w:pPr>
              <w:jc w:val="center"/>
              <w:ind w:right="9"/>
              <w:spacing w:after="0"/>
              <w:rPr>
                <w:sz w:val="20"/>
                <w:szCs w:val="20"/>
                <w:color w:val="auto"/>
              </w:rPr>
            </w:pPr>
            <w:r>
              <w:rPr>
                <w:rFonts w:ascii="Arial" w:cs="Arial" w:eastAsia="Arial" w:hAnsi="Arial"/>
                <w:sz w:val="14"/>
                <w:szCs w:val="14"/>
                <w:b w:val="1"/>
                <w:bCs w:val="1"/>
                <w:color w:val="auto"/>
                <w:w w:val="90"/>
              </w:rPr>
              <w:t>As of September 30, 2021</w:t>
            </w: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Three Months or Less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to Six Months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Six to Twelve Months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After Twelve Months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42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7"/>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Time deposits in excess of FDIC insurance limit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61,242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76,399</w:t>
            </w:r>
          </w:p>
        </w:tc>
        <w:tc>
          <w:tcPr>
            <w:tcW w:w="40" w:type="dxa"/>
            <w:vAlign w:val="bottom"/>
            <w:gridSpan w:val="2"/>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87,670</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29,146</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254,457</w:t>
            </w:r>
          </w:p>
        </w:tc>
        <w:tc>
          <w:tcPr>
            <w:tcW w:w="20" w:type="dxa"/>
            <w:vAlign w:val="bottom"/>
            <w:shd w:val="clear" w:color="auto" w:fill="CCEEFF"/>
          </w:tcPr>
          <w:p>
            <w:pPr>
              <w:spacing w:after="0"/>
              <w:rPr>
                <w:sz w:val="17"/>
                <w:szCs w:val="17"/>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Time deposits below FDIC insurance limit</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121,859</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107,007</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132,187</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85,611</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446,664</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183,101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183,406</w:t>
            </w:r>
          </w:p>
        </w:tc>
        <w:tc>
          <w:tcPr>
            <w:tcW w:w="40" w:type="dxa"/>
            <w:vAlign w:val="bottom"/>
            <w:gridSpan w:val="2"/>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219,857</w:t>
            </w:r>
          </w:p>
        </w:tc>
        <w:tc>
          <w:tcPr>
            <w:tcW w:w="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114,757</w:t>
            </w:r>
          </w:p>
        </w:tc>
        <w:tc>
          <w:tcPr>
            <w:tcW w:w="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701,121</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right="200" w:firstLine="395"/>
        <w:spacing w:after="0" w:line="301" w:lineRule="auto"/>
        <w:rPr>
          <w:sz w:val="20"/>
          <w:szCs w:val="20"/>
          <w:color w:val="auto"/>
        </w:rPr>
      </w:pPr>
      <w:r>
        <w:rPr>
          <w:rFonts w:ascii="Arial" w:cs="Arial" w:eastAsia="Arial" w:hAnsi="Arial"/>
          <w:sz w:val="14"/>
          <w:szCs w:val="14"/>
          <w:color w:val="auto"/>
        </w:rPr>
        <w:t>At September 30, 2021, our deposits totaled $4 billion, a decrease of $258 million or 5% from December 31, 2020. Of this decrease, $158 million were money market, NOW and savings deposits and $342 million were time deposits. Declines were offset by a $243 million increase in non-interest bearing deposits. The decline in money market, NOW and savings deposits was driven by required payments from our customers to the Internal Revenue Service and interest rate competition. The decrease in time deposits resulted from maturities and the low interest rate environment.</w:t>
      </w:r>
    </w:p>
    <w:p>
      <w:pPr>
        <w:spacing w:after="0" w:line="99" w:lineRule="exact"/>
        <w:rPr>
          <w:sz w:val="20"/>
          <w:szCs w:val="20"/>
          <w:color w:val="auto"/>
        </w:rPr>
      </w:pPr>
    </w:p>
    <w:p>
      <w:pPr>
        <w:ind w:right="60" w:firstLine="395"/>
        <w:spacing w:after="0" w:line="309" w:lineRule="auto"/>
        <w:rPr>
          <w:sz w:val="20"/>
          <w:szCs w:val="20"/>
          <w:color w:val="auto"/>
        </w:rPr>
      </w:pPr>
      <w:r>
        <w:rPr>
          <w:rFonts w:ascii="Arial" w:cs="Arial" w:eastAsia="Arial" w:hAnsi="Arial"/>
          <w:sz w:val="14"/>
          <w:szCs w:val="14"/>
          <w:color w:val="auto"/>
        </w:rPr>
        <w:t>Other borrowings include FHLB advances, repurchase agreements and our trust preferred security. At September 30, 2021, other borrowings totaled $278 million, a $19 million or 6% decrease from December 31, 2020. The decline was driven by borrowings that matured and were not replaced during the nine months ended September 30, 2021 due to increased Company liquidity.</w:t>
      </w:r>
    </w:p>
    <w:p>
      <w:pPr>
        <w:spacing w:after="0" w:line="104" w:lineRule="exact"/>
        <w:rPr>
          <w:sz w:val="20"/>
          <w:szCs w:val="20"/>
          <w:color w:val="auto"/>
        </w:rPr>
      </w:pPr>
    </w:p>
    <w:p>
      <w:pPr>
        <w:ind w:right="300" w:firstLine="395"/>
        <w:spacing w:after="0" w:line="358" w:lineRule="auto"/>
        <w:rPr>
          <w:sz w:val="20"/>
          <w:szCs w:val="20"/>
          <w:color w:val="auto"/>
        </w:rPr>
      </w:pPr>
      <w:r>
        <w:rPr>
          <w:rFonts w:ascii="Arial" w:cs="Arial" w:eastAsia="Arial" w:hAnsi="Arial"/>
          <w:sz w:val="13"/>
          <w:szCs w:val="13"/>
          <w:color w:val="auto"/>
        </w:rPr>
        <w:t>As of September 30, 2021, the Company had approximately $190 million of deposits with one customer relationship. The Company evaluated the deposit concentration and determined that a significant reduction to these deposits would not adversely impact the Company as sufficient liquidity is accessible and at favorable rates.</w:t>
      </w:r>
    </w:p>
    <w:p>
      <w:pPr>
        <w:spacing w:after="0" w:line="66" w:lineRule="exact"/>
        <w:rPr>
          <w:sz w:val="20"/>
          <w:szCs w:val="20"/>
          <w:color w:val="auto"/>
        </w:rPr>
      </w:pPr>
    </w:p>
    <w:p>
      <w:pPr>
        <w:ind w:right="40" w:firstLine="395"/>
        <w:spacing w:after="0" w:line="376" w:lineRule="auto"/>
        <w:rPr>
          <w:sz w:val="20"/>
          <w:szCs w:val="20"/>
          <w:color w:val="auto"/>
        </w:rPr>
      </w:pPr>
      <w:r>
        <w:rPr>
          <w:rFonts w:ascii="Arial" w:cs="Arial" w:eastAsia="Arial" w:hAnsi="Arial"/>
          <w:sz w:val="13"/>
          <w:szCs w:val="13"/>
          <w:color w:val="auto"/>
        </w:rPr>
        <w:t>As of September 30, 2021, the Company had approximately $2.5 billion of uninsured deposits, which is an estimated amount based on the same methodologies and assumptions used for the Bank’s regulatory requirements. The Company believes that its current capital ratios and liquidity are sufficient to mitigate the risks of uninsured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0500"/>
          </w:cols>
          <w:pgMar w:left="780" w:top="406" w:right="619" w:bottom="1440" w:gutter="0" w:footer="0" w:header="0"/>
        </w:sectPr>
      </w:pPr>
    </w:p>
    <w:bookmarkStart w:id="56" w:name="page57"/>
    <w:bookmarkEnd w:id="56"/>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88"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Liquidity</w:t>
      </w:r>
    </w:p>
    <w:p>
      <w:pPr>
        <w:spacing w:after="0" w:line="177" w:lineRule="exact"/>
        <w:rPr>
          <w:sz w:val="20"/>
          <w:szCs w:val="20"/>
          <w:color w:val="auto"/>
        </w:rPr>
      </w:pPr>
    </w:p>
    <w:p>
      <w:pPr>
        <w:ind w:left="140" w:right="60" w:firstLine="384"/>
        <w:spacing w:after="0" w:line="292" w:lineRule="auto"/>
        <w:rPr>
          <w:sz w:val="20"/>
          <w:szCs w:val="20"/>
          <w:color w:val="auto"/>
        </w:rPr>
      </w:pPr>
      <w:r>
        <w:rPr>
          <w:rFonts w:ascii="Arial" w:cs="Arial" w:eastAsia="Arial" w:hAnsi="Arial"/>
          <w:sz w:val="14"/>
          <w:szCs w:val="14"/>
          <w:color w:val="auto"/>
        </w:rPr>
        <w:t>The Company’s liquidity strategy is to maintain adequate, but not excessive, liquidity to meet the daily cash flow needs of its clients while attempting to achieve adequate earnings for its stockholders. The liquidity position is monitored continuously by the Company’s finance department. Liquidity resources can be derived from two sources: (i) on-balance sheet liquidity resources, which represent funds currently on the balance sheet and (ii) off-balance sheet liquidity resources, which represent funds available from third-party sources. Our on-balance sheet and off-balance sheet liquidity resources consisted of the following as of the dates indicated:</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30" w:type="dxa"/>
            <w:vAlign w:val="bottom"/>
            <w:tcBorders>
              <w:bottom w:val="single" w:sz="8" w:color="auto"/>
            </w:tcBorders>
          </w:tcPr>
          <w:p>
            <w:pPr>
              <w:spacing w:after="0"/>
              <w:rPr>
                <w:sz w:val="16"/>
                <w:szCs w:val="16"/>
                <w:color w:val="auto"/>
              </w:rPr>
            </w:pPr>
          </w:p>
        </w:tc>
        <w:tc>
          <w:tcPr>
            <w:tcW w:w="253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w w:val="98"/>
              </w:rPr>
              <w:t>December 31, 2020</w:t>
            </w:r>
          </w:p>
        </w:tc>
        <w:tc>
          <w:tcPr>
            <w:tcW w:w="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8"/>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270" w:type="dxa"/>
            <w:vAlign w:val="bottom"/>
            <w:gridSpan w:val="6"/>
          </w:tcPr>
          <w:p>
            <w:pPr>
              <w:jc w:val="right"/>
              <w:ind w:right="100"/>
              <w:spacing w:after="0"/>
              <w:rPr>
                <w:sz w:val="20"/>
                <w:szCs w:val="20"/>
                <w:color w:val="auto"/>
              </w:rPr>
            </w:pPr>
            <w:r>
              <w:rPr>
                <w:rFonts w:ascii="Arial" w:cs="Arial" w:eastAsia="Arial" w:hAnsi="Arial"/>
                <w:sz w:val="13"/>
                <w:szCs w:val="13"/>
                <w:i w:val="1"/>
                <w:iCs w:val="1"/>
                <w:color w:val="auto"/>
              </w:rPr>
              <w:t>(Dollars in thousands)</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30" w:type="dxa"/>
            <w:vAlign w:val="bottom"/>
          </w:tcPr>
          <w:p>
            <w:pPr>
              <w:spacing w:after="0"/>
              <w:rPr>
                <w:sz w:val="2"/>
                <w:szCs w:val="2"/>
                <w:color w:val="auto"/>
              </w:rPr>
            </w:pPr>
          </w:p>
        </w:tc>
        <w:tc>
          <w:tcPr>
            <w:tcW w:w="235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20" w:type="dxa"/>
            <w:vAlign w:val="bottom"/>
          </w:tcPr>
          <w:p>
            <w:pPr>
              <w:spacing w:after="0"/>
              <w:rPr>
                <w:sz w:val="15"/>
                <w:szCs w:val="15"/>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Total on-balance sheet liquidity</w:t>
            </w: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35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1,027,051</w:t>
            </w:r>
          </w:p>
        </w:tc>
        <w:tc>
          <w:tcPr>
            <w:tcW w:w="1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1,046,110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off-balance sheet liquidity</w:t>
            </w:r>
          </w:p>
        </w:tc>
        <w:tc>
          <w:tcPr>
            <w:tcW w:w="130" w:type="dxa"/>
            <w:vAlign w:val="bottom"/>
            <w:tcBorders>
              <w:bottom w:val="single" w:sz="8" w:color="auto"/>
            </w:tcBorders>
          </w:tcPr>
          <w:p>
            <w:pPr>
              <w:spacing w:after="0"/>
              <w:rPr>
                <w:sz w:val="15"/>
                <w:szCs w:val="15"/>
                <w:color w:val="auto"/>
              </w:rPr>
            </w:pPr>
          </w:p>
        </w:tc>
        <w:tc>
          <w:tcPr>
            <w:tcW w:w="235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715,089</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756,325</w:t>
            </w:r>
          </w:p>
        </w:tc>
        <w:tc>
          <w:tcPr>
            <w:tcW w:w="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4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liquidity</w:t>
            </w: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35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1,742,140</w:t>
            </w:r>
          </w:p>
        </w:tc>
        <w:tc>
          <w:tcPr>
            <w:tcW w:w="18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1,802,435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4940" w:type="dxa"/>
            <w:vAlign w:val="bottom"/>
            <w:gridSpan w:val="2"/>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253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3"/>
        </w:trPr>
        <w:tc>
          <w:tcPr>
            <w:tcW w:w="4940" w:type="dxa"/>
            <w:vAlign w:val="bottom"/>
            <w:gridSpan w:val="2"/>
          </w:tcPr>
          <w:p>
            <w:pPr>
              <w:spacing w:after="0"/>
              <w:rPr>
                <w:sz w:val="20"/>
                <w:szCs w:val="20"/>
                <w:color w:val="auto"/>
              </w:rPr>
            </w:pPr>
            <w:r>
              <w:rPr>
                <w:rFonts w:ascii="Arial" w:cs="Arial" w:eastAsia="Arial" w:hAnsi="Arial"/>
                <w:sz w:val="14"/>
                <w:szCs w:val="14"/>
                <w:color w:val="auto"/>
              </w:rPr>
              <w:t>On-balance sheet liquidity as a percent of assets</w:t>
            </w:r>
          </w:p>
        </w:tc>
        <w:tc>
          <w:tcPr>
            <w:tcW w:w="130" w:type="dxa"/>
            <w:vAlign w:val="bottom"/>
          </w:tcPr>
          <w:p>
            <w:pPr>
              <w:spacing w:after="0"/>
              <w:rPr>
                <w:sz w:val="15"/>
                <w:szCs w:val="15"/>
                <w:color w:val="auto"/>
              </w:rPr>
            </w:pPr>
          </w:p>
        </w:tc>
        <w:tc>
          <w:tcPr>
            <w:tcW w:w="2530" w:type="dxa"/>
            <w:vAlign w:val="bottom"/>
            <w:gridSpan w:val="2"/>
          </w:tcPr>
          <w:p>
            <w:pPr>
              <w:jc w:val="right"/>
              <w:spacing w:after="0"/>
              <w:rPr>
                <w:sz w:val="20"/>
                <w:szCs w:val="20"/>
                <w:color w:val="auto"/>
              </w:rPr>
            </w:pPr>
            <w:r>
              <w:rPr>
                <w:rFonts w:ascii="Arial" w:cs="Arial" w:eastAsia="Arial" w:hAnsi="Arial"/>
                <w:sz w:val="14"/>
                <w:szCs w:val="14"/>
                <w:color w:val="auto"/>
              </w:rPr>
              <w:t>19 %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Total liquidity as a percent of assets</w:t>
            </w:r>
          </w:p>
        </w:tc>
        <w:tc>
          <w:tcPr>
            <w:tcW w:w="130" w:type="dxa"/>
            <w:vAlign w:val="bottom"/>
            <w:shd w:val="clear" w:color="auto" w:fill="CCEEFF"/>
          </w:tcPr>
          <w:p>
            <w:pPr>
              <w:spacing w:after="0"/>
              <w:rPr>
                <w:sz w:val="16"/>
                <w:szCs w:val="16"/>
                <w:color w:val="auto"/>
              </w:rPr>
            </w:pPr>
          </w:p>
        </w:tc>
        <w:tc>
          <w:tcPr>
            <w:tcW w:w="235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r>
    </w:tbl>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believes that its current liquidity will be sufficient to meet anticipated cash requirements for the next 12 months.</w:t>
      </w:r>
    </w:p>
    <w:p>
      <w:pPr>
        <w:spacing w:after="0" w:line="170" w:lineRule="exact"/>
        <w:rPr>
          <w:sz w:val="20"/>
          <w:szCs w:val="20"/>
          <w:color w:val="auto"/>
        </w:rPr>
      </w:pPr>
    </w:p>
    <w:p>
      <w:pPr>
        <w:ind w:left="140" w:right="80" w:firstLine="384"/>
        <w:spacing w:after="0" w:line="325" w:lineRule="auto"/>
        <w:rPr>
          <w:sz w:val="20"/>
          <w:szCs w:val="20"/>
          <w:color w:val="auto"/>
        </w:rPr>
      </w:pPr>
      <w:r>
        <w:rPr>
          <w:rFonts w:ascii="Arial" w:cs="Arial" w:eastAsia="Arial" w:hAnsi="Arial"/>
          <w:sz w:val="13"/>
          <w:szCs w:val="13"/>
          <w:color w:val="auto"/>
        </w:rPr>
        <w:t>Subsequent to September 30, 2021, the Company's Board of Directors authorized a stock repurchase program under which the Company may repurchase up to $30 million of common stock over time. The actual timing, number and value of shares of common stock repurchased under the stock repurchase program will be determined by management at its discretion and will depend on a number of factors, including, but not limited to, the market price of the Company's common stock, general market and economic conditions, and applicable legal requirements. Stock repurchases under the program may be modified, suspended or terminated by the Company at any time without prior notice. Under the stock repurchase program, the Company may repurchase its common stock in the open market, through block trades, in privately negotiated transactions, pursuant to a trading plan separately adopted in the future, or by other means, in accordance with federal securities laws and other applicable laws.</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Contractual Obligations</w:t>
      </w:r>
    </w:p>
    <w:p>
      <w:pPr>
        <w:spacing w:after="0" w:line="177" w:lineRule="exact"/>
        <w:rPr>
          <w:sz w:val="20"/>
          <w:szCs w:val="20"/>
          <w:color w:val="auto"/>
        </w:rPr>
      </w:pPr>
    </w:p>
    <w:p>
      <w:pPr>
        <w:ind w:left="140" w:right="120" w:firstLine="384"/>
        <w:spacing w:after="0" w:line="309" w:lineRule="auto"/>
        <w:rPr>
          <w:sz w:val="20"/>
          <w:szCs w:val="20"/>
          <w:color w:val="auto"/>
        </w:rPr>
      </w:pPr>
      <w:r>
        <w:rPr>
          <w:rFonts w:ascii="Arial" w:cs="Arial" w:eastAsia="Arial" w:hAnsi="Arial"/>
          <w:sz w:val="14"/>
          <w:szCs w:val="14"/>
          <w:color w:val="auto"/>
        </w:rPr>
        <w:t>In the first quarter of 2021, the Company entered into an agreement with a third-party, venture capital firm. The Company invested $308 thousand during the nine months ended September 30, 2021 and will invest up to $3 million into the venture capital fund. The fund was designed to invest in companies that find solutions for community banks and help accelerate technology adoption for community banks.</w:t>
      </w:r>
    </w:p>
    <w:p>
      <w:pPr>
        <w:spacing w:after="0" w:line="93" w:lineRule="exact"/>
        <w:rPr>
          <w:sz w:val="20"/>
          <w:szCs w:val="20"/>
          <w:color w:val="auto"/>
        </w:rPr>
      </w:pPr>
    </w:p>
    <w:p>
      <w:pPr>
        <w:ind w:left="140" w:right="20" w:firstLine="384"/>
        <w:spacing w:after="0" w:line="376" w:lineRule="auto"/>
        <w:rPr>
          <w:sz w:val="20"/>
          <w:szCs w:val="20"/>
          <w:color w:val="auto"/>
        </w:rPr>
      </w:pPr>
      <w:r>
        <w:rPr>
          <w:rFonts w:ascii="Arial" w:cs="Arial" w:eastAsia="Arial" w:hAnsi="Arial"/>
          <w:sz w:val="13"/>
          <w:szCs w:val="13"/>
          <w:color w:val="auto"/>
        </w:rPr>
        <w:t>Refer to “Note 6: Time Deposits and Borrowings” within the Notes to the Unaudited Consolidated Financial Statements for our significant contractual cash obligations to third parties. In addition, the Company has various lease agreements with approximately $30 million of future minimum lease payments at September 30, 2021.</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Contractual obligations may be satisfied through our on-balance sheet and off-balance sheet liquidity discussed above.</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Capital Resources and Off-Balance Sheet Arrangements</w:t>
      </w:r>
    </w:p>
    <w:p>
      <w:pPr>
        <w:spacing w:after="0" w:line="177" w:lineRule="exact"/>
        <w:rPr>
          <w:sz w:val="20"/>
          <w:szCs w:val="20"/>
          <w:color w:val="auto"/>
        </w:rPr>
      </w:pPr>
    </w:p>
    <w:p>
      <w:pPr>
        <w:ind w:left="140" w:right="60" w:firstLine="384"/>
        <w:spacing w:after="0" w:line="380" w:lineRule="auto"/>
        <w:rPr>
          <w:sz w:val="20"/>
          <w:szCs w:val="20"/>
          <w:color w:val="auto"/>
        </w:rPr>
      </w:pPr>
      <w:r>
        <w:rPr>
          <w:rFonts w:ascii="Arial" w:cs="Arial" w:eastAsia="Arial" w:hAnsi="Arial"/>
          <w:sz w:val="12"/>
          <w:szCs w:val="12"/>
          <w:color w:val="auto"/>
        </w:rPr>
        <w:t>The Company and the Bank are subject to various regulatory capital requirements administered by the federal banking agencies. The regulatory capital requirements involve quantitative measures of the Company’s assets, liabilities, select off-balance sheet items and equity. Failure to meet minimum capital requirements can initiate certain mandatory and possibly additional discretionary actions by regulators that, if undertaken, could have a direct material effect on the Company’s consolidated financial statements. Refer to “Note 8:</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0500"/>
          </w:cols>
          <w:pgMar w:left="780" w:top="406" w:right="619" w:bottom="1440" w:gutter="0" w:footer="0" w:header="0"/>
        </w:sectPr>
      </w:pPr>
    </w:p>
    <w:bookmarkStart w:id="57" w:name="page58"/>
    <w:bookmarkEnd w:id="57"/>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140" w:right="40"/>
        <w:spacing w:after="0" w:line="316" w:lineRule="auto"/>
        <w:rPr>
          <w:sz w:val="20"/>
          <w:szCs w:val="20"/>
          <w:color w:val="auto"/>
        </w:rPr>
      </w:pPr>
      <w:r>
        <w:rPr>
          <w:rFonts w:ascii="Arial" w:cs="Arial" w:eastAsia="Arial" w:hAnsi="Arial"/>
          <w:sz w:val="14"/>
          <w:szCs w:val="14"/>
          <w:color w:val="auto"/>
        </w:rPr>
        <w:t>Regulatory Matters” in the Notes to the Unaudited Consolidated Financial Statements for additional information. Management believes that as of September 30, 2021, the Company and the Bank met all capital adequacy requirements to which they are subject.</w:t>
      </w:r>
    </w:p>
    <w:p>
      <w:pPr>
        <w:spacing w:after="0" w:line="99" w:lineRule="exact"/>
        <w:rPr>
          <w:sz w:val="20"/>
          <w:szCs w:val="20"/>
          <w:color w:val="auto"/>
        </w:rPr>
      </w:pPr>
    </w:p>
    <w:p>
      <w:pPr>
        <w:ind w:left="140" w:firstLine="384"/>
        <w:spacing w:after="0" w:line="301" w:lineRule="auto"/>
        <w:rPr>
          <w:sz w:val="20"/>
          <w:szCs w:val="20"/>
          <w:color w:val="auto"/>
        </w:rPr>
      </w:pPr>
      <w:r>
        <w:rPr>
          <w:rFonts w:ascii="Arial" w:cs="Arial" w:eastAsia="Arial" w:hAnsi="Arial"/>
          <w:sz w:val="14"/>
          <w:szCs w:val="14"/>
          <w:color w:val="auto"/>
        </w:rPr>
        <w:t>The Company is subject to off-balance sheet risk in the normal course of business to meet the needs of its clients that have, or are reasonably likely to have, a current or future effect on our financial condition, changes in financial condition, revenues or expenses, results of operations, liquidity, capital expenditures or capital resources. Refer to “Note 12: Commitments and Credit Risk” in the Notes to Unaudited Consolidated Financial Statements for a breakout of our off-balance sheet arrangements. As of September 30, 2021, the Company believes it has sufficient access to liquid assets to support the funding of these commitments.</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7" w:lineRule="exact"/>
        <w:rPr>
          <w:sz w:val="20"/>
          <w:szCs w:val="20"/>
          <w:color w:val="auto"/>
        </w:rPr>
      </w:pPr>
    </w:p>
    <w:p>
      <w:pPr>
        <w:ind w:left="140" w:right="40" w:firstLine="384"/>
        <w:spacing w:after="0" w:line="301" w:lineRule="auto"/>
        <w:rPr>
          <w:sz w:val="20"/>
          <w:szCs w:val="20"/>
          <w:color w:val="auto"/>
        </w:rPr>
      </w:pPr>
      <w:r>
        <w:rPr>
          <w:rFonts w:ascii="Arial" w:cs="Arial" w:eastAsia="Arial" w:hAnsi="Arial"/>
          <w:sz w:val="14"/>
          <w:szCs w:val="14"/>
          <w:color w:val="auto"/>
        </w:rPr>
        <w:t>The Company identified several accounting policies that are critical to an understanding of our financial condition and results of operations. These policies require difficult, subjective or complex judgments and assumptions that create potential sensitivity of our financial statements to those judgments and assumptions. These policies relate to the allowance for loan and lease losses, investment securities impairment, deferred tax assets, and the fair value of financial instruments. A discussion of these policies can be found in the section captioned “Critical Accounting Policies and Estimates” in Management’s Discussion and Analysis of Financial Condition and Results of Operations included in the 2020 Form 10-K.</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have been no additional changes in the Company’s application of critical accounting policies since December 31, 2020.</w:t>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Recent Accounting Pronouncements</w:t>
      </w:r>
    </w:p>
    <w:p>
      <w:pPr>
        <w:spacing w:after="0" w:line="177" w:lineRule="exact"/>
        <w:rPr>
          <w:sz w:val="20"/>
          <w:szCs w:val="20"/>
          <w:color w:val="auto"/>
        </w:rPr>
      </w:pPr>
    </w:p>
    <w:p>
      <w:pPr>
        <w:ind w:left="140" w:right="60" w:firstLine="384"/>
        <w:spacing w:after="0" w:line="316" w:lineRule="auto"/>
        <w:rPr>
          <w:sz w:val="20"/>
          <w:szCs w:val="20"/>
          <w:color w:val="auto"/>
        </w:rPr>
      </w:pPr>
      <w:r>
        <w:rPr>
          <w:rFonts w:ascii="Arial" w:cs="Arial" w:eastAsia="Arial" w:hAnsi="Arial"/>
          <w:sz w:val="14"/>
          <w:szCs w:val="14"/>
          <w:color w:val="auto"/>
        </w:rPr>
        <w:t>Refer to “Note 1: Nature of Operations and Summary of Significant Accounting Policies” included in the Notes to the Unaudited Consolidated Financial Statements included elsewhere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0460"/>
          </w:cols>
          <w:pgMar w:left="780" w:top="406" w:right="659" w:bottom="1440" w:gutter="0" w:footer="0" w:header="0"/>
        </w:sectPr>
      </w:pPr>
    </w:p>
    <w:bookmarkStart w:id="58" w:name="page59"/>
    <w:bookmarkEnd w:id="58"/>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8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Interest Rate Risk</w:t>
      </w:r>
    </w:p>
    <w:p>
      <w:pPr>
        <w:spacing w:after="0" w:line="161" w:lineRule="exact"/>
        <w:rPr>
          <w:sz w:val="20"/>
          <w:szCs w:val="20"/>
          <w:color w:val="auto"/>
        </w:rPr>
      </w:pPr>
    </w:p>
    <w:p>
      <w:pPr>
        <w:ind w:left="680" w:right="639" w:firstLine="384"/>
        <w:spacing w:after="0" w:line="325" w:lineRule="auto"/>
        <w:rPr>
          <w:sz w:val="20"/>
          <w:szCs w:val="20"/>
          <w:color w:val="auto"/>
        </w:rPr>
      </w:pPr>
      <w:r>
        <w:rPr>
          <w:rFonts w:ascii="Arial" w:cs="Arial" w:eastAsia="Arial" w:hAnsi="Arial"/>
          <w:sz w:val="13"/>
          <w:szCs w:val="13"/>
          <w:color w:val="auto"/>
        </w:rPr>
        <w:t>A primary component of market risk is interest rate volatility. Interest rate risk management is a key element of the Company’s balance sheet management. Interest rate risk is the risk that NIM will erode over time due to changing market conditions. Many factors can cause margins to erode: (i) lower loan demand; (ii) increased competition for funds; (iii) weak pricing policies; (iv) balance sheet mismatches; and (v) changing liquidity demands. The objective is to maximize income while minimizing interest rate risk. The Company manages its sensitivity position using its interest rate risk policy. The management of interest rate risk is a three-step process and involves: (i) measuring the interest rate risk position; (ii) policy constraints; and (iii) strategic review and implementation.</w:t>
      </w:r>
    </w:p>
    <w:p>
      <w:pPr>
        <w:spacing w:after="0" w:line="98" w:lineRule="exact"/>
        <w:rPr>
          <w:sz w:val="20"/>
          <w:szCs w:val="20"/>
          <w:color w:val="auto"/>
        </w:rPr>
      </w:pPr>
    </w:p>
    <w:p>
      <w:pPr>
        <w:ind w:left="680" w:right="559" w:firstLine="384"/>
        <w:spacing w:after="0" w:line="297" w:lineRule="auto"/>
        <w:rPr>
          <w:sz w:val="20"/>
          <w:szCs w:val="20"/>
          <w:color w:val="auto"/>
        </w:rPr>
      </w:pPr>
      <w:r>
        <w:rPr>
          <w:rFonts w:ascii="Arial" w:cs="Arial" w:eastAsia="Arial" w:hAnsi="Arial"/>
          <w:sz w:val="14"/>
          <w:szCs w:val="14"/>
          <w:color w:val="auto"/>
        </w:rPr>
        <w:t>Our exposure to interest rate risk is managed by the Funds Management Committee (“FMC”). The FMC uses a combination of three systems to measure the balance sheet’s interest rate risk position. The three systems in combination are expected to provide a better overall result than a single system alone. The three systems include: (i) gap reports; (ii) earnings simulation; and (iii) economic value of equity. The FMC’s primary tools to change the interest rate risk position are: (i) investment portfolio duration; (ii) deposit and borrowing mix; and (iii) on balance sheet derivatives.</w:t>
      </w:r>
    </w:p>
    <w:p>
      <w:pPr>
        <w:spacing w:after="0" w:line="113" w:lineRule="exact"/>
        <w:rPr>
          <w:sz w:val="20"/>
          <w:szCs w:val="20"/>
          <w:color w:val="auto"/>
        </w:rPr>
      </w:pPr>
    </w:p>
    <w:p>
      <w:pPr>
        <w:ind w:left="680" w:right="699" w:firstLine="384"/>
        <w:spacing w:after="0" w:line="301" w:lineRule="auto"/>
        <w:rPr>
          <w:sz w:val="20"/>
          <w:szCs w:val="20"/>
          <w:color w:val="auto"/>
        </w:rPr>
      </w:pPr>
      <w:r>
        <w:rPr>
          <w:rFonts w:ascii="Arial" w:cs="Arial" w:eastAsia="Arial" w:hAnsi="Arial"/>
          <w:sz w:val="14"/>
          <w:szCs w:val="14"/>
          <w:color w:val="auto"/>
        </w:rPr>
        <w:t>The FMC evaluates interest rate risk using a rate shock method and rate ramp method. In a rate shock analysis, rates change immediately and the change is sustained over the time horizon. In a rate ramp analysis, rate changes occur gradually over time. The following tables summarize the simulated changes in net interest income and fair value of equity over a 12-month horizon using a rate shock and rate ramp method as of the dates indicated:</w:t>
      </w:r>
    </w:p>
    <w:p>
      <w:pPr>
        <w:spacing w:after="0" w:line="2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Hypothetical Change in Interest Rate - Rate Shock</w:t>
      </w:r>
    </w:p>
    <w:p>
      <w:pPr>
        <w:spacing w:after="0" w:line="52"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5"/>
                <w:szCs w:val="15"/>
                <w:color w:val="auto"/>
              </w:rPr>
            </w:pPr>
          </w:p>
        </w:tc>
        <w:tc>
          <w:tcPr>
            <w:tcW w:w="308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September 30, 2020</w:t>
            </w:r>
          </w:p>
        </w:tc>
      </w:tr>
      <w:tr>
        <w:trPr>
          <w:trHeight w:val="242"/>
        </w:trPr>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Change in Interest</w:t>
            </w:r>
          </w:p>
        </w:tc>
        <w:tc>
          <w:tcPr>
            <w:tcW w:w="14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3"/>
              </w:rPr>
              <w:t>Percent change in net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4"/>
              </w:rPr>
              <w:t>Percent change in fair</w:t>
            </w:r>
          </w:p>
        </w:tc>
        <w:tc>
          <w:tcPr>
            <w:tcW w:w="140" w:type="dxa"/>
            <w:vAlign w:val="bottom"/>
          </w:tcPr>
          <w:p>
            <w:pPr>
              <w:spacing w:after="0"/>
              <w:rPr>
                <w:sz w:val="21"/>
                <w:szCs w:val="21"/>
                <w:color w:val="auto"/>
              </w:rPr>
            </w:pPr>
          </w:p>
        </w:tc>
        <w:tc>
          <w:tcPr>
            <w:tcW w:w="14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3"/>
              </w:rPr>
              <w:t>Percent change in net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4"/>
              </w:rPr>
              <w:t>Percent change in fair</w:t>
            </w:r>
          </w:p>
        </w:tc>
      </w:tr>
      <w:tr>
        <w:trPr>
          <w:trHeight w:val="175"/>
        </w:trPr>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Rate (Basis Points)</w:t>
            </w:r>
          </w:p>
        </w:tc>
        <w:tc>
          <w:tcPr>
            <w:tcW w:w="146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interest income</w:t>
            </w:r>
          </w:p>
        </w:tc>
        <w:tc>
          <w:tcPr>
            <w:tcW w:w="140" w:type="dxa"/>
            <w:vAlign w:val="bottom"/>
          </w:tcPr>
          <w:p>
            <w:pPr>
              <w:spacing w:after="0"/>
              <w:rPr>
                <w:sz w:val="15"/>
                <w:szCs w:val="15"/>
                <w:color w:val="auto"/>
              </w:rPr>
            </w:pPr>
          </w:p>
        </w:tc>
        <w:tc>
          <w:tcPr>
            <w:tcW w:w="1460" w:type="dxa"/>
            <w:vAlign w:val="bottom"/>
          </w:tcPr>
          <w:p>
            <w:pPr>
              <w:jc w:val="right"/>
              <w:ind w:right="220"/>
              <w:spacing w:after="0"/>
              <w:rPr>
                <w:sz w:val="20"/>
                <w:szCs w:val="20"/>
                <w:color w:val="auto"/>
              </w:rPr>
            </w:pPr>
            <w:r>
              <w:rPr>
                <w:rFonts w:ascii="Arial" w:cs="Arial" w:eastAsia="Arial" w:hAnsi="Arial"/>
                <w:sz w:val="14"/>
                <w:szCs w:val="14"/>
                <w:b w:val="1"/>
                <w:bCs w:val="1"/>
                <w:color w:val="auto"/>
              </w:rPr>
              <w:t>value of equity</w:t>
            </w:r>
          </w:p>
        </w:tc>
        <w:tc>
          <w:tcPr>
            <w:tcW w:w="140" w:type="dxa"/>
            <w:vAlign w:val="bottom"/>
          </w:tcPr>
          <w:p>
            <w:pPr>
              <w:spacing w:after="0"/>
              <w:rPr>
                <w:sz w:val="15"/>
                <w:szCs w:val="15"/>
                <w:color w:val="auto"/>
              </w:rPr>
            </w:pPr>
          </w:p>
        </w:tc>
        <w:tc>
          <w:tcPr>
            <w:tcW w:w="146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interest income</w:t>
            </w:r>
          </w:p>
        </w:tc>
        <w:tc>
          <w:tcPr>
            <w:tcW w:w="160" w:type="dxa"/>
            <w:vAlign w:val="bottom"/>
          </w:tcPr>
          <w:p>
            <w:pPr>
              <w:spacing w:after="0"/>
              <w:rPr>
                <w:sz w:val="15"/>
                <w:szCs w:val="15"/>
                <w:color w:val="auto"/>
              </w:rPr>
            </w:pPr>
          </w:p>
        </w:tc>
        <w:tc>
          <w:tcPr>
            <w:tcW w:w="1460" w:type="dxa"/>
            <w:vAlign w:val="bottom"/>
          </w:tcPr>
          <w:p>
            <w:pPr>
              <w:jc w:val="right"/>
              <w:ind w:right="220"/>
              <w:spacing w:after="0"/>
              <w:rPr>
                <w:sz w:val="20"/>
                <w:szCs w:val="20"/>
                <w:color w:val="auto"/>
              </w:rPr>
            </w:pPr>
            <w:r>
              <w:rPr>
                <w:rFonts w:ascii="Arial" w:cs="Arial" w:eastAsia="Arial" w:hAnsi="Arial"/>
                <w:sz w:val="14"/>
                <w:szCs w:val="14"/>
                <w:b w:val="1"/>
                <w:bCs w:val="1"/>
                <w:color w:val="auto"/>
              </w:rPr>
              <w:t>value of equity</w:t>
            </w:r>
          </w:p>
        </w:tc>
      </w:tr>
      <w:tr>
        <w:trPr>
          <w:trHeight w:val="152"/>
        </w:trPr>
        <w:tc>
          <w:tcPr>
            <w:tcW w:w="20" w:type="dxa"/>
            <w:vAlign w:val="bottom"/>
          </w:tcPr>
          <w:p>
            <w:pPr>
              <w:spacing w:after="0"/>
              <w:rPr>
                <w:sz w:val="13"/>
                <w:szCs w:val="13"/>
                <w:color w:val="auto"/>
              </w:rPr>
            </w:pPr>
          </w:p>
        </w:tc>
        <w:tc>
          <w:tcPr>
            <w:tcW w:w="1280" w:type="dxa"/>
            <w:vAlign w:val="bottom"/>
            <w:tcBorders>
              <w:top w:val="single" w:sz="8" w:color="auto"/>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+300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6.4</w:t>
            </w:r>
          </w:p>
        </w:tc>
        <w:tc>
          <w:tcPr>
            <w:tcW w:w="240" w:type="dxa"/>
            <w:vAlign w:val="bottom"/>
            <w:tcBorders>
              <w:top w:val="single" w:sz="8" w:color="auto"/>
              <w:bottom w:val="single" w:sz="8" w:color="CCEEFF"/>
            </w:tcBorders>
            <w:shd w:val="clear" w:color="auto" w:fill="CCEEFF"/>
          </w:tcPr>
          <w:p>
            <w:pPr>
              <w:jc w:val="right"/>
              <w:ind w:right="49"/>
              <w:spacing w:after="0" w:line="151" w:lineRule="exact"/>
              <w:rPr>
                <w:sz w:val="20"/>
                <w:szCs w:val="20"/>
                <w:color w:val="auto"/>
              </w:rPr>
            </w:pPr>
            <w:r>
              <w:rPr>
                <w:rFonts w:ascii="Arial" w:cs="Arial" w:eastAsia="Arial" w:hAnsi="Arial"/>
                <w:sz w:val="14"/>
                <w:szCs w:val="14"/>
                <w:color w:val="auto"/>
                <w:w w:val="79"/>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auto"/>
              <w:bottom w:val="single" w:sz="8" w:color="CCEEFF"/>
            </w:tcBorders>
            <w:shd w:val="clear" w:color="auto" w:fill="CCEEFF"/>
          </w:tcPr>
          <w:p>
            <w:pPr>
              <w:jc w:val="right"/>
              <w:ind w:right="60"/>
              <w:spacing w:after="0" w:line="151" w:lineRule="exact"/>
              <w:rPr>
                <w:sz w:val="20"/>
                <w:szCs w:val="20"/>
                <w:color w:val="auto"/>
              </w:rPr>
            </w:pPr>
            <w:r>
              <w:rPr>
                <w:rFonts w:ascii="Arial" w:cs="Arial" w:eastAsia="Arial" w:hAnsi="Arial"/>
                <w:sz w:val="14"/>
                <w:szCs w:val="14"/>
                <w:color w:val="auto"/>
              </w:rPr>
              <w:t>(8.9)%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1.2</w:t>
            </w:r>
          </w:p>
        </w:tc>
        <w:tc>
          <w:tcPr>
            <w:tcW w:w="240" w:type="dxa"/>
            <w:vAlign w:val="bottom"/>
            <w:tcBorders>
              <w:top w:val="single" w:sz="8" w:color="auto"/>
              <w:bottom w:val="single" w:sz="8" w:color="CCEEFF"/>
            </w:tcBorders>
            <w:shd w:val="clear" w:color="auto" w:fill="CCEEFF"/>
          </w:tcPr>
          <w:p>
            <w:pPr>
              <w:jc w:val="right"/>
              <w:ind w:right="49"/>
              <w:spacing w:after="0" w:line="151"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auto"/>
              <w:bottom w:val="single" w:sz="8" w:color="CCEEFF"/>
            </w:tcBorders>
            <w:shd w:val="clear" w:color="auto" w:fill="CCEEFF"/>
          </w:tcPr>
          <w:p>
            <w:pPr>
              <w:jc w:val="right"/>
              <w:ind w:right="40"/>
              <w:spacing w:after="0" w:line="151" w:lineRule="exact"/>
              <w:rPr>
                <w:sz w:val="20"/>
                <w:szCs w:val="20"/>
                <w:color w:val="auto"/>
              </w:rPr>
            </w:pPr>
            <w:r>
              <w:rPr>
                <w:rFonts w:ascii="Arial" w:cs="Arial" w:eastAsia="Arial" w:hAnsi="Arial"/>
                <w:sz w:val="14"/>
                <w:szCs w:val="14"/>
                <w:color w:val="auto"/>
              </w:rPr>
              <w:t>(7.2)%</w:t>
            </w:r>
          </w:p>
        </w:tc>
      </w:tr>
      <w:tr>
        <w:trPr>
          <w:trHeight w:val="181"/>
        </w:trPr>
        <w:tc>
          <w:tcPr>
            <w:tcW w:w="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(5.7)</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(3.2)</w:t>
            </w:r>
          </w:p>
        </w:tc>
      </w:tr>
      <w:tr>
        <w:trPr>
          <w:trHeight w:val="162"/>
        </w:trPr>
        <w:tc>
          <w:tcPr>
            <w:tcW w:w="20" w:type="dxa"/>
            <w:vAlign w:val="bottom"/>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(0.8)</w:t>
            </w:r>
          </w:p>
        </w:tc>
      </w:tr>
      <w:tr>
        <w:trPr>
          <w:trHeight w:val="181"/>
        </w:trPr>
        <w:tc>
          <w:tcPr>
            <w:tcW w:w="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Base</w:t>
            </w:r>
          </w:p>
        </w:tc>
        <w:tc>
          <w:tcPr>
            <w:tcW w:w="1460" w:type="dxa"/>
            <w:vAlign w:val="bottom"/>
            <w:gridSpan w:val="2"/>
          </w:tcPr>
          <w:p>
            <w:pPr>
              <w:jc w:val="right"/>
              <w:ind w:right="49"/>
              <w:spacing w:after="0"/>
              <w:rPr>
                <w:sz w:val="20"/>
                <w:szCs w:val="20"/>
                <w:color w:val="auto"/>
              </w:rPr>
            </w:pPr>
            <w:r>
              <w:rPr>
                <w:rFonts w:ascii="Arial" w:cs="Arial" w:eastAsia="Arial" w:hAnsi="Arial"/>
                <w:sz w:val="14"/>
                <w:szCs w:val="14"/>
                <w:color w:val="auto"/>
              </w:rPr>
              <w:t>- %</w:t>
            </w:r>
          </w:p>
        </w:tc>
        <w:tc>
          <w:tcPr>
            <w:tcW w:w="1600" w:type="dxa"/>
            <w:vAlign w:val="bottom"/>
            <w:gridSpan w:val="2"/>
          </w:tcPr>
          <w:p>
            <w:pPr>
              <w:jc w:val="right"/>
              <w:ind w:right="60"/>
              <w:spacing w:after="0"/>
              <w:rPr>
                <w:sz w:val="20"/>
                <w:szCs w:val="20"/>
                <w:color w:val="auto"/>
              </w:rPr>
            </w:pPr>
            <w:r>
              <w:rPr>
                <w:rFonts w:ascii="Arial" w:cs="Arial" w:eastAsia="Arial" w:hAnsi="Arial"/>
                <w:sz w:val="14"/>
                <w:szCs w:val="14"/>
                <w:color w:val="auto"/>
              </w:rPr>
              <w:t>- %</w:t>
            </w:r>
          </w:p>
        </w:tc>
        <w:tc>
          <w:tcPr>
            <w:tcW w:w="1600" w:type="dxa"/>
            <w:vAlign w:val="bottom"/>
            <w:gridSpan w:val="3"/>
          </w:tcPr>
          <w:p>
            <w:pPr>
              <w:jc w:val="right"/>
              <w:ind w:right="49"/>
              <w:spacing w:after="0"/>
              <w:rPr>
                <w:sz w:val="20"/>
                <w:szCs w:val="20"/>
                <w:color w:val="auto"/>
              </w:rPr>
            </w:pPr>
            <w:r>
              <w:rPr>
                <w:rFonts w:ascii="Arial" w:cs="Arial" w:eastAsia="Arial" w:hAnsi="Arial"/>
                <w:sz w:val="14"/>
                <w:szCs w:val="14"/>
                <w:color w:val="auto"/>
              </w:rPr>
              <w:t>- %</w:t>
            </w:r>
          </w:p>
        </w:tc>
        <w:tc>
          <w:tcPr>
            <w:tcW w:w="1620" w:type="dxa"/>
            <w:vAlign w:val="bottom"/>
            <w:gridSpan w:val="2"/>
          </w:tcPr>
          <w:p>
            <w:pPr>
              <w:jc w:val="right"/>
              <w:ind w:right="40"/>
              <w:spacing w:after="0"/>
              <w:rPr>
                <w:sz w:val="20"/>
                <w:szCs w:val="20"/>
                <w:color w:val="auto"/>
              </w:rPr>
            </w:pPr>
            <w:r>
              <w:rPr>
                <w:rFonts w:ascii="Arial" w:cs="Arial" w:eastAsia="Arial" w:hAnsi="Arial"/>
                <w:sz w:val="14"/>
                <w:szCs w:val="14"/>
                <w:color w:val="auto"/>
              </w:rPr>
              <w:t>- %</w:t>
            </w:r>
          </w:p>
        </w:tc>
      </w:tr>
      <w:tr>
        <w:trPr>
          <w:trHeight w:val="204"/>
        </w:trPr>
        <w:tc>
          <w:tcPr>
            <w:tcW w:w="20" w:type="dxa"/>
            <w:vAlign w:val="bottom"/>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69"/>
              <w:spacing w:after="0" w:line="192" w:lineRule="exact"/>
              <w:rPr>
                <w:sz w:val="20"/>
                <w:szCs w:val="20"/>
                <w:color w:val="auto"/>
              </w:rPr>
            </w:pPr>
            <w:r>
              <w:rPr>
                <w:rFonts w:ascii="Arial" w:cs="Arial" w:eastAsia="Arial" w:hAnsi="Arial"/>
                <w:sz w:val="22"/>
                <w:szCs w:val="22"/>
                <w:color w:val="auto"/>
                <w:vertAlign w:val="subscript"/>
              </w:rPr>
              <w:t>NA</w:t>
            </w:r>
            <w:r>
              <w:rPr>
                <w:rFonts w:ascii="Arial" w:cs="Arial" w:eastAsia="Arial" w:hAnsi="Arial"/>
                <w:sz w:val="8"/>
                <w:szCs w:val="8"/>
                <w:color w:val="auto"/>
              </w:rPr>
              <w:t>(1)</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80"/>
              <w:spacing w:after="0" w:line="192" w:lineRule="exact"/>
              <w:rPr>
                <w:sz w:val="20"/>
                <w:szCs w:val="20"/>
                <w:color w:val="auto"/>
              </w:rPr>
            </w:pPr>
            <w:r>
              <w:rPr>
                <w:rFonts w:ascii="Arial" w:cs="Arial" w:eastAsia="Arial" w:hAnsi="Arial"/>
                <w:sz w:val="22"/>
                <w:szCs w:val="22"/>
                <w:color w:val="auto"/>
                <w:vertAlign w:val="subscript"/>
              </w:rPr>
              <w:t>NA</w:t>
            </w:r>
            <w:r>
              <w:rPr>
                <w:rFonts w:ascii="Arial" w:cs="Arial" w:eastAsia="Arial" w:hAnsi="Arial"/>
                <w:sz w:val="8"/>
                <w:szCs w:val="8"/>
                <w:color w:val="auto"/>
              </w:rPr>
              <w:t>(1)</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69"/>
              <w:spacing w:after="0" w:line="192" w:lineRule="exact"/>
              <w:rPr>
                <w:sz w:val="20"/>
                <w:szCs w:val="20"/>
                <w:color w:val="auto"/>
              </w:rPr>
            </w:pPr>
            <w:r>
              <w:rPr>
                <w:rFonts w:ascii="Arial" w:cs="Arial" w:eastAsia="Arial" w:hAnsi="Arial"/>
                <w:sz w:val="22"/>
                <w:szCs w:val="22"/>
                <w:color w:val="auto"/>
                <w:vertAlign w:val="subscript"/>
              </w:rPr>
              <w:t>NA</w:t>
            </w:r>
            <w:r>
              <w:rPr>
                <w:rFonts w:ascii="Arial" w:cs="Arial" w:eastAsia="Arial" w:hAnsi="Arial"/>
                <w:sz w:val="8"/>
                <w:szCs w:val="8"/>
                <w:color w:val="auto"/>
              </w:rPr>
              <w:t>(1)</w:t>
            </w: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60"/>
              <w:spacing w:after="0" w:line="192" w:lineRule="exact"/>
              <w:rPr>
                <w:sz w:val="20"/>
                <w:szCs w:val="20"/>
                <w:color w:val="auto"/>
              </w:rPr>
            </w:pPr>
            <w:r>
              <w:rPr>
                <w:rFonts w:ascii="Arial" w:cs="Arial" w:eastAsia="Arial" w:hAnsi="Arial"/>
                <w:sz w:val="22"/>
                <w:szCs w:val="22"/>
                <w:color w:val="auto"/>
                <w:vertAlign w:val="subscript"/>
              </w:rPr>
              <w:t>NA</w:t>
            </w:r>
            <w:r>
              <w:rPr>
                <w:rFonts w:ascii="Arial" w:cs="Arial" w:eastAsia="Arial" w:hAnsi="Arial"/>
                <w:sz w:val="8"/>
                <w:szCs w:val="8"/>
                <w:color w:val="auto"/>
              </w:rPr>
              <w:t>(1)</w:t>
            </w:r>
          </w:p>
        </w:tc>
      </w:tr>
      <w:tr>
        <w:trPr>
          <w:trHeight w:val="255"/>
        </w:trPr>
        <w:tc>
          <w:tcPr>
            <w:tcW w:w="20" w:type="dxa"/>
            <w:vAlign w:val="bottom"/>
          </w:tcPr>
          <w:p>
            <w:pPr>
              <w:spacing w:after="0"/>
              <w:rPr>
                <w:sz w:val="22"/>
                <w:szCs w:val="22"/>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22"/>
                <w:szCs w:val="22"/>
                <w:color w:val="auto"/>
              </w:rPr>
            </w:pPr>
          </w:p>
        </w:tc>
        <w:tc>
          <w:tcPr>
            <w:tcW w:w="1460" w:type="dxa"/>
            <w:vAlign w:val="bottom"/>
            <w:gridSpan w:val="2"/>
          </w:tcPr>
          <w:p>
            <w:pPr>
              <w:jc w:val="right"/>
              <w:ind w:right="169"/>
              <w:spacing w:after="0" w:line="254" w:lineRule="exact"/>
              <w:rPr>
                <w:sz w:val="20"/>
                <w:szCs w:val="20"/>
                <w:color w:val="auto"/>
              </w:rPr>
            </w:pPr>
            <w:r>
              <w:rPr>
                <w:rFonts w:ascii="Arial" w:cs="Arial" w:eastAsia="Arial" w:hAnsi="Arial"/>
                <w:sz w:val="28"/>
                <w:szCs w:val="28"/>
                <w:color w:val="auto"/>
                <w:vertAlign w:val="subscript"/>
              </w:rPr>
              <w:t>NA</w:t>
            </w:r>
            <w:r>
              <w:rPr>
                <w:rFonts w:ascii="Arial" w:cs="Arial" w:eastAsia="Arial" w:hAnsi="Arial"/>
                <w:sz w:val="9"/>
                <w:szCs w:val="9"/>
                <w:color w:val="auto"/>
              </w:rPr>
              <w:t>(1)</w:t>
            </w:r>
          </w:p>
        </w:tc>
        <w:tc>
          <w:tcPr>
            <w:tcW w:w="140" w:type="dxa"/>
            <w:vAlign w:val="bottom"/>
          </w:tcPr>
          <w:p>
            <w:pPr>
              <w:spacing w:after="0"/>
              <w:rPr>
                <w:sz w:val="22"/>
                <w:szCs w:val="22"/>
                <w:color w:val="auto"/>
              </w:rPr>
            </w:pPr>
          </w:p>
        </w:tc>
        <w:tc>
          <w:tcPr>
            <w:tcW w:w="1460" w:type="dxa"/>
            <w:vAlign w:val="bottom"/>
          </w:tcPr>
          <w:p>
            <w:pPr>
              <w:jc w:val="right"/>
              <w:ind w:right="180"/>
              <w:spacing w:after="0" w:line="254" w:lineRule="exact"/>
              <w:rPr>
                <w:sz w:val="20"/>
                <w:szCs w:val="20"/>
                <w:color w:val="auto"/>
              </w:rPr>
            </w:pPr>
            <w:r>
              <w:rPr>
                <w:rFonts w:ascii="Arial" w:cs="Arial" w:eastAsia="Arial" w:hAnsi="Arial"/>
                <w:sz w:val="28"/>
                <w:szCs w:val="28"/>
                <w:color w:val="auto"/>
                <w:vertAlign w:val="subscript"/>
              </w:rPr>
              <w:t>NA</w:t>
            </w:r>
            <w:r>
              <w:rPr>
                <w:rFonts w:ascii="Arial" w:cs="Arial" w:eastAsia="Arial" w:hAnsi="Arial"/>
                <w:sz w:val="9"/>
                <w:szCs w:val="9"/>
                <w:color w:val="auto"/>
              </w:rPr>
              <w:t>(1)</w:t>
            </w:r>
          </w:p>
        </w:tc>
        <w:tc>
          <w:tcPr>
            <w:tcW w:w="140" w:type="dxa"/>
            <w:vAlign w:val="bottom"/>
          </w:tcPr>
          <w:p>
            <w:pPr>
              <w:spacing w:after="0"/>
              <w:rPr>
                <w:sz w:val="22"/>
                <w:szCs w:val="22"/>
                <w:color w:val="auto"/>
              </w:rPr>
            </w:pPr>
          </w:p>
        </w:tc>
        <w:tc>
          <w:tcPr>
            <w:tcW w:w="1460" w:type="dxa"/>
            <w:vAlign w:val="bottom"/>
            <w:gridSpan w:val="2"/>
          </w:tcPr>
          <w:p>
            <w:pPr>
              <w:jc w:val="right"/>
              <w:ind w:right="169"/>
              <w:spacing w:after="0" w:line="254" w:lineRule="exact"/>
              <w:rPr>
                <w:sz w:val="20"/>
                <w:szCs w:val="20"/>
                <w:color w:val="auto"/>
              </w:rPr>
            </w:pPr>
            <w:r>
              <w:rPr>
                <w:rFonts w:ascii="Arial" w:cs="Arial" w:eastAsia="Arial" w:hAnsi="Arial"/>
                <w:sz w:val="28"/>
                <w:szCs w:val="28"/>
                <w:color w:val="auto"/>
                <w:vertAlign w:val="subscript"/>
              </w:rPr>
              <w:t>NA</w:t>
            </w:r>
            <w:r>
              <w:rPr>
                <w:rFonts w:ascii="Arial" w:cs="Arial" w:eastAsia="Arial" w:hAnsi="Arial"/>
                <w:sz w:val="9"/>
                <w:szCs w:val="9"/>
                <w:color w:val="auto"/>
              </w:rPr>
              <w:t>(1)</w:t>
            </w:r>
          </w:p>
        </w:tc>
        <w:tc>
          <w:tcPr>
            <w:tcW w:w="160" w:type="dxa"/>
            <w:vAlign w:val="bottom"/>
          </w:tcPr>
          <w:p>
            <w:pPr>
              <w:spacing w:after="0"/>
              <w:rPr>
                <w:sz w:val="22"/>
                <w:szCs w:val="22"/>
                <w:color w:val="auto"/>
              </w:rPr>
            </w:pPr>
          </w:p>
        </w:tc>
        <w:tc>
          <w:tcPr>
            <w:tcW w:w="1460" w:type="dxa"/>
            <w:vAlign w:val="bottom"/>
          </w:tcPr>
          <w:p>
            <w:pPr>
              <w:jc w:val="right"/>
              <w:ind w:right="160"/>
              <w:spacing w:after="0" w:line="254" w:lineRule="exact"/>
              <w:rPr>
                <w:sz w:val="20"/>
                <w:szCs w:val="20"/>
                <w:color w:val="auto"/>
              </w:rPr>
            </w:pPr>
            <w:r>
              <w:rPr>
                <w:rFonts w:ascii="Arial" w:cs="Arial" w:eastAsia="Arial" w:hAnsi="Arial"/>
                <w:sz w:val="28"/>
                <w:szCs w:val="28"/>
                <w:color w:val="auto"/>
                <w:vertAlign w:val="subscript"/>
              </w:rPr>
              <w:t>NA</w:t>
            </w:r>
            <w:r>
              <w:rPr>
                <w:rFonts w:ascii="Arial" w:cs="Arial" w:eastAsia="Arial" w:hAnsi="Arial"/>
                <w:sz w:val="9"/>
                <w:szCs w:val="9"/>
                <w:color w:val="auto"/>
              </w:rPr>
              <w:t>(1)</w:t>
            </w:r>
          </w:p>
        </w:tc>
      </w:tr>
    </w:tbl>
    <w:p>
      <w:pPr>
        <w:ind w:left="800" w:hanging="137"/>
        <w:spacing w:after="0" w:line="204" w:lineRule="auto"/>
        <w:tabs>
          <w:tab w:leader="none" w:pos="80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The Company decided to exclude the down rate environment from its analysis due to the already low interest rate environment.</w:t>
      </w:r>
    </w:p>
    <w:p>
      <w:pPr>
        <w:spacing w:after="0" w:line="28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Hypothetical Change in Interest Rate - Rate Ramp</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180" w:type="dxa"/>
            <w:vAlign w:val="bottom"/>
          </w:tcPr>
          <w:p>
            <w:pPr>
              <w:spacing w:after="0"/>
              <w:rPr>
                <w:sz w:val="14"/>
                <w:szCs w:val="14"/>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2020</w:t>
            </w:r>
          </w:p>
        </w:tc>
      </w:tr>
      <w:tr>
        <w:trPr>
          <w:trHeight w:val="178"/>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Change in Interest Rate</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 change in net interest</w:t>
            </w:r>
          </w:p>
        </w:tc>
        <w:tc>
          <w:tcPr>
            <w:tcW w:w="18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 change in net interest</w:t>
            </w:r>
          </w:p>
        </w:tc>
      </w:tr>
      <w:tr>
        <w:trPr>
          <w:trHeight w:val="175"/>
        </w:trPr>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(Basis Points)</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income</w:t>
            </w:r>
          </w:p>
        </w:tc>
      </w:tr>
      <w:tr>
        <w:trPr>
          <w:trHeight w:val="20"/>
        </w:trPr>
        <w:tc>
          <w:tcPr>
            <w:tcW w:w="35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r>
      <w:tr>
        <w:trPr>
          <w:trHeight w:val="152"/>
        </w:trPr>
        <w:tc>
          <w:tcPr>
            <w:tcW w:w="35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+300</w:t>
            </w: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ind w:left="1540"/>
              <w:spacing w:after="0" w:line="152" w:lineRule="exact"/>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w w:val="79"/>
              </w:rPr>
              <w:t>%</w:t>
            </w:r>
          </w:p>
        </w:tc>
        <w:tc>
          <w:tcPr>
            <w:tcW w:w="190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r>
      <w:tr>
        <w:trPr>
          <w:trHeight w:val="181"/>
        </w:trPr>
        <w:tc>
          <w:tcPr>
            <w:tcW w:w="3560" w:type="dxa"/>
            <w:vAlign w:val="bottom"/>
          </w:tcPr>
          <w:p>
            <w:pPr>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15"/>
                <w:szCs w:val="15"/>
                <w:color w:val="auto"/>
              </w:rPr>
            </w:pPr>
          </w:p>
        </w:tc>
        <w:tc>
          <w:tcPr>
            <w:tcW w:w="1760" w:type="dxa"/>
            <w:vAlign w:val="bottom"/>
          </w:tcPr>
          <w:p>
            <w:pPr>
              <w:ind w:left="154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5"/>
                <w:szCs w:val="15"/>
                <w:color w:val="auto"/>
              </w:rPr>
            </w:pPr>
          </w:p>
        </w:tc>
        <w:tc>
          <w:tcPr>
            <w:tcW w:w="2120" w:type="dxa"/>
            <w:vAlign w:val="bottom"/>
            <w:gridSpan w:val="3"/>
          </w:tcPr>
          <w:p>
            <w:pPr>
              <w:jc w:val="right"/>
              <w:ind w:right="149"/>
              <w:spacing w:after="0"/>
              <w:rPr>
                <w:sz w:val="20"/>
                <w:szCs w:val="20"/>
                <w:color w:val="auto"/>
              </w:rPr>
            </w:pPr>
            <w:r>
              <w:rPr>
                <w:rFonts w:ascii="Arial" w:cs="Arial" w:eastAsia="Arial" w:hAnsi="Arial"/>
                <w:sz w:val="14"/>
                <w:szCs w:val="14"/>
                <w:color w:val="auto"/>
              </w:rPr>
              <w:t>0.8</w:t>
            </w:r>
          </w:p>
        </w:tc>
      </w:tr>
      <w:tr>
        <w:trPr>
          <w:trHeight w:val="181"/>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ind w:left="1540"/>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15"/>
                <w:szCs w:val="15"/>
                <w:color w:val="auto"/>
              </w:rPr>
            </w:pPr>
          </w:p>
        </w:tc>
      </w:tr>
      <w:tr>
        <w:trPr>
          <w:trHeight w:val="181"/>
        </w:trPr>
        <w:tc>
          <w:tcPr>
            <w:tcW w:w="3740" w:type="dxa"/>
            <w:vAlign w:val="bottom"/>
            <w:gridSpan w:val="2"/>
          </w:tcPr>
          <w:p>
            <w:pPr>
              <w:spacing w:after="0"/>
              <w:rPr>
                <w:sz w:val="20"/>
                <w:szCs w:val="20"/>
                <w:color w:val="auto"/>
              </w:rPr>
            </w:pPr>
            <w:r>
              <w:rPr>
                <w:rFonts w:ascii="Arial" w:cs="Arial" w:eastAsia="Arial" w:hAnsi="Arial"/>
                <w:sz w:val="14"/>
                <w:szCs w:val="14"/>
                <w:color w:val="auto"/>
              </w:rPr>
              <w:t>Base</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 %</w:t>
            </w:r>
          </w:p>
        </w:tc>
      </w:tr>
      <w:tr>
        <w:trPr>
          <w:trHeight w:val="224"/>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1440"/>
              <w:spacing w:after="0" w:line="224"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color w:val="auto"/>
              </w:rPr>
              <w:t>(1)</w:t>
            </w: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09"/>
              <w:spacing w:after="0" w:line="224"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color w:val="auto"/>
              </w:rPr>
              <w:t>(1)</w:t>
            </w:r>
          </w:p>
        </w:tc>
      </w:tr>
      <w:tr>
        <w:trPr>
          <w:trHeight w:val="255"/>
        </w:trPr>
        <w:tc>
          <w:tcPr>
            <w:tcW w:w="3560" w:type="dxa"/>
            <w:vAlign w:val="bottom"/>
          </w:tcPr>
          <w:p>
            <w:pPr>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22"/>
                <w:szCs w:val="22"/>
                <w:color w:val="auto"/>
              </w:rPr>
            </w:pPr>
          </w:p>
        </w:tc>
        <w:tc>
          <w:tcPr>
            <w:tcW w:w="1940" w:type="dxa"/>
            <w:vAlign w:val="bottom"/>
            <w:gridSpan w:val="2"/>
          </w:tcPr>
          <w:p>
            <w:pPr>
              <w:ind w:left="1440"/>
              <w:spacing w:after="0" w:line="254" w:lineRule="exact"/>
              <w:rPr>
                <w:sz w:val="20"/>
                <w:szCs w:val="20"/>
                <w:color w:val="auto"/>
              </w:rPr>
            </w:pPr>
            <w:r>
              <w:rPr>
                <w:rFonts w:ascii="Arial" w:cs="Arial" w:eastAsia="Arial" w:hAnsi="Arial"/>
                <w:sz w:val="28"/>
                <w:szCs w:val="28"/>
                <w:color w:val="auto"/>
                <w:vertAlign w:val="subscript"/>
              </w:rPr>
              <w:t>NA</w:t>
            </w:r>
            <w:r>
              <w:rPr>
                <w:rFonts w:ascii="Arial" w:cs="Arial" w:eastAsia="Arial" w:hAnsi="Arial"/>
                <w:sz w:val="9"/>
                <w:szCs w:val="9"/>
                <w:color w:val="auto"/>
              </w:rPr>
              <w:t>(1)</w:t>
            </w:r>
          </w:p>
        </w:tc>
        <w:tc>
          <w:tcPr>
            <w:tcW w:w="180" w:type="dxa"/>
            <w:vAlign w:val="bottom"/>
          </w:tcPr>
          <w:p>
            <w:pPr>
              <w:spacing w:after="0"/>
              <w:rPr>
                <w:sz w:val="22"/>
                <w:szCs w:val="22"/>
                <w:color w:val="auto"/>
              </w:rPr>
            </w:pPr>
          </w:p>
        </w:tc>
        <w:tc>
          <w:tcPr>
            <w:tcW w:w="1940" w:type="dxa"/>
            <w:vAlign w:val="bottom"/>
            <w:gridSpan w:val="2"/>
          </w:tcPr>
          <w:p>
            <w:pPr>
              <w:jc w:val="right"/>
              <w:ind w:right="109"/>
              <w:spacing w:after="0" w:line="254" w:lineRule="exact"/>
              <w:rPr>
                <w:sz w:val="20"/>
                <w:szCs w:val="20"/>
                <w:color w:val="auto"/>
              </w:rPr>
            </w:pPr>
            <w:r>
              <w:rPr>
                <w:rFonts w:ascii="Arial" w:cs="Arial" w:eastAsia="Arial" w:hAnsi="Arial"/>
                <w:sz w:val="28"/>
                <w:szCs w:val="28"/>
                <w:color w:val="auto"/>
                <w:vertAlign w:val="subscript"/>
              </w:rPr>
              <w:t>NA</w:t>
            </w:r>
            <w:r>
              <w:rPr>
                <w:rFonts w:ascii="Arial" w:cs="Arial" w:eastAsia="Arial" w:hAnsi="Arial"/>
                <w:sz w:val="9"/>
                <w:szCs w:val="9"/>
                <w:color w:val="auto"/>
              </w:rPr>
              <w:t>(1)</w:t>
            </w:r>
          </w:p>
        </w:tc>
      </w:tr>
    </w:tbl>
    <w:p>
      <w:pPr>
        <w:ind w:left="800" w:hanging="137"/>
        <w:spacing w:after="0" w:line="218" w:lineRule="auto"/>
        <w:tabs>
          <w:tab w:leader="none" w:pos="80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The Company decided to exclude the down rate environment from its analysis due to the already low interest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9019"/>
          </w:cols>
          <w:pgMar w:left="1440" w:top="406" w:right="1440" w:bottom="1440" w:gutter="0" w:footer="0" w:header="0"/>
        </w:sectPr>
      </w:pPr>
    </w:p>
    <w:bookmarkStart w:id="59" w:name="page60"/>
    <w:bookmarkEnd w:id="59"/>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680" w:right="579" w:firstLine="384"/>
        <w:spacing w:after="0" w:line="321" w:lineRule="auto"/>
        <w:rPr>
          <w:sz w:val="20"/>
          <w:szCs w:val="20"/>
          <w:color w:val="auto"/>
        </w:rPr>
      </w:pPr>
      <w:r>
        <w:rPr>
          <w:rFonts w:ascii="Arial" w:cs="Arial" w:eastAsia="Arial" w:hAnsi="Arial"/>
          <w:sz w:val="13"/>
          <w:szCs w:val="13"/>
          <w:color w:val="auto"/>
        </w:rPr>
        <w:t>The Company’s position is slightly asset sensitive as of September 30, 2021. During the three-month period ended September 30, 2021, $88 million in PPP loans were paid off and was the main driver of the change in asset sensitivity to the prior quarter. The hypothetical change in net interest income as of September 30, 2021 in an up 100 basis point shock is mainly due to floors on variable rate loans that limit interest income growth as rates start to rise. In addition, the Company reduced wholesale deposits and time deposits to lower interest rate sensitivity in the current low-rate environment. As a result, our interest-bearing liabilities reprice at a similar speed as our earning assets in an up 100 basis point rate environment. The FMC has several options available, including an increase in fixed-rate deposits and using on balance sheet derivatives, that could reduce the short-term, negative impact of a rising interest rate environment. The Company anticipates the use of cash flow hedges in the near term to manage rate sensitivity. Approximately 66% of the Company’s earning assets reprice or mature over the next 12 months.</w:t>
      </w:r>
    </w:p>
    <w:p>
      <w:pPr>
        <w:spacing w:after="0" w:line="89" w:lineRule="exact"/>
        <w:rPr>
          <w:sz w:val="20"/>
          <w:szCs w:val="20"/>
          <w:color w:val="auto"/>
        </w:rPr>
      </w:pPr>
    </w:p>
    <w:p>
      <w:pPr>
        <w:jc w:val="both"/>
        <w:ind w:left="680" w:right="559" w:firstLine="384"/>
        <w:spacing w:after="0" w:line="371" w:lineRule="auto"/>
        <w:rPr>
          <w:sz w:val="20"/>
          <w:szCs w:val="20"/>
          <w:color w:val="auto"/>
        </w:rPr>
      </w:pPr>
      <w:r>
        <w:rPr>
          <w:rFonts w:ascii="Arial" w:cs="Arial" w:eastAsia="Arial" w:hAnsi="Arial"/>
          <w:sz w:val="12"/>
          <w:szCs w:val="12"/>
          <w:color w:val="auto"/>
        </w:rPr>
        <w:t>The models the Company uses include assumptions regarding interest rates while balances remain unchanged. These assumptions are inherently uncertain and, as a result, the model cannot precisely estimate net interest income or precisely predict the impact of higher or lower interest rates on net interest income. Actual results will differ from simulated results due to timing, magnitude and frequency of interest rate changes as well as changes in market conditions, customer behavior and management strategies, among other factors.</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4. CONTROLS AND PROCEDURES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7" w:lineRule="exact"/>
        <w:rPr>
          <w:sz w:val="20"/>
          <w:szCs w:val="20"/>
          <w:color w:val="auto"/>
        </w:rPr>
      </w:pPr>
    </w:p>
    <w:p>
      <w:pPr>
        <w:ind w:left="680" w:right="639" w:firstLine="384"/>
        <w:spacing w:after="0" w:line="371" w:lineRule="auto"/>
        <w:rPr>
          <w:sz w:val="20"/>
          <w:szCs w:val="20"/>
          <w:color w:val="auto"/>
        </w:rPr>
      </w:pPr>
      <w:r>
        <w:rPr>
          <w:rFonts w:ascii="Arial" w:cs="Arial" w:eastAsia="Arial" w:hAnsi="Arial"/>
          <w:sz w:val="12"/>
          <w:szCs w:val="12"/>
          <w:color w:val="auto"/>
        </w:rPr>
        <w:t>The Company’s management, with the participation of the Company’s Chief Executive Officer and Chief Financial Officer, has evaluated the effectiveness of the Company’s disclosure controls and procedures (as defined in Rule 13a-15(e) under the Securities Exchange Act of 1934 (“Exchange Act”)) as of September 30, 2021. Based on that evaluation, the Company’s Chief Executive Officer and Chief Financial Officer concluded that the Company’s disclosure controls and procedures were effective as of September 30, 2021.</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7" w:lineRule="exact"/>
        <w:rPr>
          <w:sz w:val="20"/>
          <w:szCs w:val="20"/>
          <w:color w:val="auto"/>
        </w:rPr>
      </w:pPr>
    </w:p>
    <w:p>
      <w:pPr>
        <w:jc w:val="both"/>
        <w:ind w:left="680" w:right="619" w:firstLine="384"/>
        <w:spacing w:after="0" w:line="309" w:lineRule="auto"/>
        <w:rPr>
          <w:sz w:val="20"/>
          <w:szCs w:val="20"/>
          <w:color w:val="auto"/>
        </w:rPr>
      </w:pPr>
      <w:r>
        <w:rPr>
          <w:rFonts w:ascii="Arial" w:cs="Arial" w:eastAsia="Arial" w:hAnsi="Arial"/>
          <w:sz w:val="14"/>
          <w:szCs w:val="14"/>
          <w:color w:val="auto"/>
        </w:rPr>
        <w:t>There was no change in the Company’s internal control over financial reporting (as such term is defined in Rule 13a-15(f) under the Exchange Act) that occurred during the third quarter of 2021 that has materially affected, or is reasonably likely to materially affect, the Company’s internal control over financial reporting.</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PART II - OTHER INFORMATION</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1. LEGAL PROCEEDINGS</w:t>
      </w:r>
    </w:p>
    <w:p>
      <w:pPr>
        <w:spacing w:after="0" w:line="177" w:lineRule="exact"/>
        <w:rPr>
          <w:sz w:val="20"/>
          <w:szCs w:val="20"/>
          <w:color w:val="auto"/>
        </w:rPr>
      </w:pPr>
    </w:p>
    <w:p>
      <w:pPr>
        <w:ind w:left="680" w:right="639" w:firstLine="384"/>
        <w:spacing w:after="0" w:line="325" w:lineRule="auto"/>
        <w:rPr>
          <w:sz w:val="20"/>
          <w:szCs w:val="20"/>
          <w:color w:val="auto"/>
        </w:rPr>
      </w:pPr>
      <w:r>
        <w:rPr>
          <w:rFonts w:ascii="Arial" w:cs="Arial" w:eastAsia="Arial" w:hAnsi="Arial"/>
          <w:sz w:val="13"/>
          <w:szCs w:val="13"/>
          <w:color w:val="auto"/>
        </w:rPr>
        <w:t>In the normal course of business, we are named or threatened to be named as a defendant in various lawsuits. Management, following consultation with legal counsel, does not expect the ultimate disposition of any or a combination of these matters to have a material adverse effect on our business, financial condition, results of operations, cash flows or growth prospects.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24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1A. RISK FACTORS</w:t>
      </w:r>
    </w:p>
    <w:p>
      <w:pPr>
        <w:spacing w:after="0" w:line="177" w:lineRule="exact"/>
        <w:rPr>
          <w:sz w:val="20"/>
          <w:szCs w:val="20"/>
          <w:color w:val="auto"/>
        </w:rPr>
      </w:pPr>
    </w:p>
    <w:p>
      <w:pPr>
        <w:ind w:left="540" w:right="579" w:firstLine="395"/>
        <w:spacing w:after="0" w:line="301" w:lineRule="auto"/>
        <w:rPr>
          <w:sz w:val="20"/>
          <w:szCs w:val="20"/>
          <w:color w:val="auto"/>
        </w:rPr>
      </w:pPr>
      <w:r>
        <w:rPr>
          <w:rFonts w:ascii="Arial" w:cs="Arial" w:eastAsia="Arial" w:hAnsi="Arial"/>
          <w:sz w:val="14"/>
          <w:szCs w:val="14"/>
          <w:color w:val="auto"/>
        </w:rPr>
        <w:t>In addition to the other information set forth in this report and the updated risk factor below, you should carefully consider the factors discussed in Part I, "Item 1A. Risk Factors" in our 2020 Form 10-K, which could materially affect our business, financial condition or results of operations in future periods.</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We may not be able to manage the risks associated with our anticipated growth and expansion through de novo branching.</w:t>
      </w:r>
    </w:p>
    <w:p>
      <w:pPr>
        <w:spacing w:after="0" w:line="175" w:lineRule="exact"/>
        <w:rPr>
          <w:sz w:val="20"/>
          <w:szCs w:val="20"/>
          <w:color w:val="auto"/>
        </w:rPr>
      </w:pPr>
    </w:p>
    <w:p>
      <w:pPr>
        <w:ind w:left="540" w:right="719" w:firstLine="395"/>
        <w:spacing w:after="0" w:line="376" w:lineRule="auto"/>
        <w:rPr>
          <w:sz w:val="20"/>
          <w:szCs w:val="20"/>
          <w:color w:val="auto"/>
        </w:rPr>
      </w:pPr>
      <w:r>
        <w:rPr>
          <w:rFonts w:ascii="Arial" w:cs="Arial" w:eastAsia="Arial" w:hAnsi="Arial"/>
          <w:sz w:val="13"/>
          <w:szCs w:val="13"/>
          <w:color w:val="auto"/>
        </w:rPr>
        <w:t>Our business strategy includes evaluating potential strategic opportunities to grow through de novo branching. We are in the process of opening a de novo branch in Phoenix, Arizona. De novo branching carries with it certain potential risks, including significant</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9019"/>
          </w:cols>
          <w:pgMar w:left="1440" w:top="406" w:right="1440" w:bottom="1440" w:gutter="0" w:footer="0" w:header="0"/>
        </w:sectPr>
      </w:pPr>
    </w:p>
    <w:bookmarkStart w:id="60" w:name="page61"/>
    <w:bookmarkEnd w:id="60"/>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540" w:right="599"/>
        <w:spacing w:after="0" w:line="325" w:lineRule="auto"/>
        <w:rPr>
          <w:sz w:val="20"/>
          <w:szCs w:val="20"/>
          <w:color w:val="auto"/>
        </w:rPr>
      </w:pPr>
      <w:r>
        <w:rPr>
          <w:rFonts w:ascii="Arial" w:cs="Arial" w:eastAsia="Arial" w:hAnsi="Arial"/>
          <w:sz w:val="13"/>
          <w:szCs w:val="13"/>
          <w:color w:val="auto"/>
        </w:rPr>
        <w:t>startup costs and anticipated initial operating losses; an inability to gain regulatory approval; an inability to secure the services of qualified senior management to operate the de novo banking location and successfully integrate and promote our corporate culture; poor market reception for de novo banking locations established in markets where we do not have a preexisting reputation; challenges posed by local economic conditions; challenges associated with securing attractive locations at a reasonable cost; and the additional strain on management resources and internal systems and controls. Failure to adequately manage the risks associated with our anticipated growth through de novo branching could have an adverse effect on our business, financial condition and results of operations.</w:t>
      </w:r>
    </w:p>
    <w:p>
      <w:pPr>
        <w:spacing w:after="0" w:line="200" w:lineRule="exact"/>
        <w:rPr>
          <w:sz w:val="20"/>
          <w:szCs w:val="20"/>
          <w:color w:val="auto"/>
        </w:rPr>
      </w:pPr>
    </w:p>
    <w:p>
      <w:pPr>
        <w:spacing w:after="0" w:line="36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9019"/>
          </w:cols>
          <w:pgMar w:left="1440" w:top="406" w:right="1440" w:bottom="1440" w:gutter="0" w:footer="0" w:header="0"/>
        </w:sectPr>
      </w:pPr>
    </w:p>
    <w:bookmarkStart w:id="61" w:name="page62"/>
    <w:bookmarkEnd w:id="61"/>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88"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ITEM 6. EXHIBITS</w:t>
      </w:r>
    </w:p>
    <w:p>
      <w:pPr>
        <w:spacing w:after="0" w:line="369" w:lineRule="exact"/>
        <w:rPr>
          <w:sz w:val="20"/>
          <w:szCs w:val="20"/>
          <w:color w:val="auto"/>
        </w:rPr>
      </w:pPr>
    </w:p>
    <w:tbl>
      <w:tblPr>
        <w:tblLayout w:type="fixed"/>
        <w:tblInd w:w="54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Number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11"/>
          </w:tcPr>
          <w:p>
            <w:pPr>
              <w:spacing w:after="0"/>
              <w:rPr>
                <w:sz w:val="20"/>
                <w:szCs w:val="20"/>
                <w:color w:val="auto"/>
              </w:rPr>
            </w:pPr>
            <w:r>
              <w:rPr>
                <w:rFonts w:ascii="Arial" w:cs="Arial" w:eastAsia="Arial" w:hAnsi="Arial"/>
                <w:sz w:val="14"/>
                <w:szCs w:val="14"/>
                <w:color w:val="auto"/>
              </w:rPr>
              <w:t>Exhibit Description</w:t>
            </w: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60" w:type="dxa"/>
            <w:vAlign w:val="bottom"/>
            <w:gridSpan w:val="3"/>
          </w:tcPr>
          <w:p>
            <w:pPr>
              <w:ind w:left="40"/>
              <w:spacing w:after="0" w:line="129" w:lineRule="exact"/>
              <w:rPr>
                <w:rFonts w:ascii="Arial" w:cs="Arial" w:eastAsia="Arial" w:hAnsi="Arial"/>
                <w:sz w:val="14"/>
                <w:szCs w:val="14"/>
                <w:color w:val="0000FF"/>
              </w:rPr>
            </w:pPr>
            <w:hyperlink r:id="rId73">
              <w:r>
                <w:rPr>
                  <w:rFonts w:ascii="Arial" w:cs="Arial" w:eastAsia="Arial" w:hAnsi="Arial"/>
                  <w:sz w:val="14"/>
                  <w:szCs w:val="14"/>
                  <w:color w:val="0000FF"/>
                </w:rPr>
                <w:t>3.</w:t>
              </w:r>
              <w:r>
                <w:rPr>
                  <w:rFonts w:ascii="Arial" w:cs="Arial" w:eastAsia="Arial" w:hAnsi="Arial"/>
                  <w:sz w:val="14"/>
                  <w:szCs w:val="14"/>
                  <w:u w:val="single" w:color="auto"/>
                  <w:color w:val="0000FF"/>
                </w:rPr>
                <w:t>1</w:t>
              </w:r>
            </w:hyperlink>
          </w:p>
        </w:tc>
        <w:tc>
          <w:tcPr>
            <w:tcW w:w="6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40" w:type="dxa"/>
            <w:vAlign w:val="bottom"/>
            <w:gridSpan w:val="11"/>
          </w:tcPr>
          <w:p>
            <w:pPr>
              <w:spacing w:after="0" w:line="129" w:lineRule="exact"/>
              <w:rPr>
                <w:rFonts w:ascii="Arial" w:cs="Arial" w:eastAsia="Arial" w:hAnsi="Arial"/>
                <w:sz w:val="14"/>
                <w:szCs w:val="14"/>
                <w:color w:val="0000FF"/>
                <w:w w:val="96"/>
              </w:rPr>
            </w:pPr>
            <w:hyperlink r:id="rId73">
              <w:r>
                <w:rPr>
                  <w:rFonts w:ascii="Arial" w:cs="Arial" w:eastAsia="Arial" w:hAnsi="Arial"/>
                  <w:sz w:val="14"/>
                  <w:szCs w:val="14"/>
                  <w:color w:val="0000FF"/>
                  <w:w w:val="96"/>
                </w:rPr>
                <w:t>Articles of Incorporation of CrossFirst Bankshares, Inc. (incorporated by reference to Exhibit 3.1 to the Company's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40" w:type="dxa"/>
            <w:vAlign w:val="bottom"/>
            <w:tcBorders>
              <w:bottom w:val="single" w:sz="8" w:color="0000FF"/>
            </w:tcBorders>
            <w:gridSpan w:val="6"/>
          </w:tcPr>
          <w:p>
            <w:pPr>
              <w:spacing w:after="0"/>
              <w:rPr>
                <w:rFonts w:ascii="Arial" w:cs="Arial" w:eastAsia="Arial" w:hAnsi="Arial"/>
                <w:sz w:val="14"/>
                <w:szCs w:val="14"/>
                <w:color w:val="0000FF"/>
                <w:w w:val="92"/>
              </w:rPr>
            </w:pPr>
            <w:hyperlink r:id="rId73">
              <w:r>
                <w:rPr>
                  <w:rFonts w:ascii="Arial" w:cs="Arial" w:eastAsia="Arial" w:hAnsi="Arial"/>
                  <w:sz w:val="14"/>
                  <w:szCs w:val="14"/>
                  <w:color w:val="0000FF"/>
                  <w:w w:val="92"/>
                </w:rPr>
                <w:t>Registration Statement on Form S-1 as filed with the SEC on July 18, 2019, File No. 333-232704).</w:t>
              </w:r>
            </w:hyperlink>
          </w:p>
        </w:tc>
        <w:tc>
          <w:tcPr>
            <w:tcW w:w="1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60" w:type="dxa"/>
            <w:vAlign w:val="bottom"/>
            <w:gridSpan w:val="3"/>
          </w:tcPr>
          <w:p>
            <w:pPr>
              <w:ind w:left="40"/>
              <w:spacing w:after="0"/>
              <w:rPr>
                <w:rFonts w:ascii="Arial" w:cs="Arial" w:eastAsia="Arial" w:hAnsi="Arial"/>
                <w:sz w:val="14"/>
                <w:szCs w:val="14"/>
                <w:color w:val="0000FF"/>
              </w:rPr>
            </w:pPr>
            <w:hyperlink r:id="rId74">
              <w:r>
                <w:rPr>
                  <w:rFonts w:ascii="Arial" w:cs="Arial" w:eastAsia="Arial" w:hAnsi="Arial"/>
                  <w:sz w:val="14"/>
                  <w:szCs w:val="14"/>
                  <w:color w:val="0000FF"/>
                </w:rPr>
                <w:t>3.</w:t>
              </w:r>
              <w:r>
                <w:rPr>
                  <w:rFonts w:ascii="Arial" w:cs="Arial" w:eastAsia="Arial" w:hAnsi="Arial"/>
                  <w:sz w:val="14"/>
                  <w:szCs w:val="14"/>
                  <w:u w:val="single" w:color="auto"/>
                  <w:color w:val="0000FF"/>
                </w:rPr>
                <w:t>2</w:t>
              </w:r>
            </w:hyperlink>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11"/>
          </w:tcPr>
          <w:p>
            <w:pPr>
              <w:spacing w:after="0"/>
              <w:rPr>
                <w:rFonts w:ascii="Arial" w:cs="Arial" w:eastAsia="Arial" w:hAnsi="Arial"/>
                <w:sz w:val="14"/>
                <w:szCs w:val="14"/>
                <w:color w:val="0000FF"/>
                <w:w w:val="94"/>
              </w:rPr>
            </w:pPr>
            <w:hyperlink r:id="rId74">
              <w:r>
                <w:rPr>
                  <w:rFonts w:ascii="Arial" w:cs="Arial" w:eastAsia="Arial" w:hAnsi="Arial"/>
                  <w:sz w:val="14"/>
                  <w:szCs w:val="14"/>
                  <w:color w:val="0000FF"/>
                  <w:w w:val="94"/>
                </w:rPr>
                <w:t>Amendment to Articles of Incorporation of CrossFirst Bankshares, Inc. (incorporated by reference to Exhibit 3.2 to the</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320" w:type="dxa"/>
            <w:vAlign w:val="bottom"/>
            <w:tcBorders>
              <w:bottom w:val="single" w:sz="8" w:color="0000FF"/>
            </w:tcBorders>
            <w:gridSpan w:val="8"/>
          </w:tcPr>
          <w:p>
            <w:pPr>
              <w:spacing w:after="0"/>
              <w:rPr>
                <w:rFonts w:ascii="Arial" w:cs="Arial" w:eastAsia="Arial" w:hAnsi="Arial"/>
                <w:sz w:val="14"/>
                <w:szCs w:val="14"/>
                <w:color w:val="0000FF"/>
                <w:w w:val="92"/>
              </w:rPr>
            </w:pPr>
            <w:hyperlink r:id="rId74">
              <w:r>
                <w:rPr>
                  <w:rFonts w:ascii="Arial" w:cs="Arial" w:eastAsia="Arial" w:hAnsi="Arial"/>
                  <w:sz w:val="14"/>
                  <w:szCs w:val="14"/>
                  <w:color w:val="0000FF"/>
                  <w:w w:val="92"/>
                </w:rPr>
                <w:t>Company’s Registration Statement on Form S-1 as filed with the SEC on July 18, 2019, File No. 333-232704).</w:t>
              </w:r>
            </w:hyperlink>
          </w:p>
        </w:tc>
        <w:tc>
          <w:tcPr>
            <w:tcW w:w="5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60" w:type="dxa"/>
            <w:vAlign w:val="bottom"/>
            <w:gridSpan w:val="3"/>
          </w:tcPr>
          <w:p>
            <w:pPr>
              <w:ind w:left="40"/>
              <w:spacing w:after="0"/>
              <w:rPr>
                <w:rFonts w:ascii="Arial" w:cs="Arial" w:eastAsia="Arial" w:hAnsi="Arial"/>
                <w:sz w:val="14"/>
                <w:szCs w:val="14"/>
                <w:color w:val="0000FF"/>
              </w:rPr>
            </w:pPr>
            <w:hyperlink r:id="rId75">
              <w:r>
                <w:rPr>
                  <w:rFonts w:ascii="Arial" w:cs="Arial" w:eastAsia="Arial" w:hAnsi="Arial"/>
                  <w:sz w:val="14"/>
                  <w:szCs w:val="14"/>
                  <w:color w:val="0000FF"/>
                </w:rPr>
                <w:t>3.</w:t>
              </w:r>
              <w:r>
                <w:rPr>
                  <w:rFonts w:ascii="Arial" w:cs="Arial" w:eastAsia="Arial" w:hAnsi="Arial"/>
                  <w:sz w:val="14"/>
                  <w:szCs w:val="14"/>
                  <w:u w:val="single" w:color="auto"/>
                  <w:color w:val="0000FF"/>
                </w:rPr>
                <w:t>3</w:t>
              </w:r>
            </w:hyperlink>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11"/>
          </w:tcPr>
          <w:p>
            <w:pPr>
              <w:spacing w:after="0"/>
              <w:rPr>
                <w:rFonts w:ascii="Arial" w:cs="Arial" w:eastAsia="Arial" w:hAnsi="Arial"/>
                <w:sz w:val="14"/>
                <w:szCs w:val="14"/>
                <w:color w:val="0000FF"/>
              </w:rPr>
            </w:pPr>
            <w:hyperlink r:id="rId75">
              <w:r>
                <w:rPr>
                  <w:rFonts w:ascii="Arial" w:cs="Arial" w:eastAsia="Arial" w:hAnsi="Arial"/>
                  <w:sz w:val="14"/>
                  <w:szCs w:val="14"/>
                  <w:color w:val="0000FF"/>
                </w:rPr>
                <w:t>Bylaws of CrossFirst Bankshares, Inc. (incorporated by reference to Exhibit 3.3 to the Company's Registration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900" w:type="dxa"/>
            <w:vAlign w:val="bottom"/>
            <w:tcBorders>
              <w:bottom w:val="single" w:sz="8" w:color="0000FF"/>
            </w:tcBorders>
            <w:gridSpan w:val="5"/>
          </w:tcPr>
          <w:p>
            <w:pPr>
              <w:spacing w:after="0"/>
              <w:rPr>
                <w:rFonts w:ascii="Arial" w:cs="Arial" w:eastAsia="Arial" w:hAnsi="Arial"/>
                <w:sz w:val="14"/>
                <w:szCs w:val="14"/>
                <w:color w:val="0000FF"/>
                <w:w w:val="92"/>
              </w:rPr>
            </w:pPr>
            <w:hyperlink r:id="rId75">
              <w:r>
                <w:rPr>
                  <w:rFonts w:ascii="Arial" w:cs="Arial" w:eastAsia="Arial" w:hAnsi="Arial"/>
                  <w:sz w:val="14"/>
                  <w:szCs w:val="14"/>
                  <w:color w:val="0000FF"/>
                  <w:w w:val="92"/>
                </w:rPr>
                <w:t>Statement on Form S-1 as filed with the SEC on July 18, 2019, File No. 333-232704).</w:t>
              </w:r>
            </w:hyperlink>
          </w:p>
        </w:tc>
        <w:tc>
          <w:tcPr>
            <w:tcW w:w="19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gridSpan w:val="3"/>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gridSpan w:val="11"/>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Employment Agreement with Benjamin R. Clouse, dated July 12, 2021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0" w:type="dxa"/>
            <w:vAlign w:val="bottom"/>
            <w:gridSpan w:val="3"/>
          </w:tcPr>
          <w:p>
            <w:pPr>
              <w:ind w:left="40"/>
              <w:spacing w:after="0"/>
              <w:rPr>
                <w:rFonts w:ascii="Arial" w:cs="Arial" w:eastAsia="Arial" w:hAnsi="Arial"/>
                <w:sz w:val="14"/>
                <w:szCs w:val="14"/>
                <w:color w:val="0000FF"/>
                <w:w w:val="85"/>
              </w:rPr>
            </w:pPr>
            <w:hyperlink w:anchor="page74">
              <w:r>
                <w:rPr>
                  <w:rFonts w:ascii="Arial" w:cs="Arial" w:eastAsia="Arial" w:hAnsi="Arial"/>
                  <w:sz w:val="14"/>
                  <w:szCs w:val="14"/>
                  <w:color w:val="0000FF"/>
                  <w:w w:val="85"/>
                </w:rPr>
                <w:t>31.</w:t>
              </w:r>
              <w:r>
                <w:rPr>
                  <w:rFonts w:ascii="Arial" w:cs="Arial" w:eastAsia="Arial" w:hAnsi="Arial"/>
                  <w:sz w:val="14"/>
                  <w:szCs w:val="14"/>
                  <w:u w:val="single" w:color="auto"/>
                  <w:color w:val="0000FF"/>
                  <w:w w:val="85"/>
                </w:rPr>
                <w:t>1*</w:t>
              </w:r>
            </w:hyperlink>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11"/>
          </w:tcPr>
          <w:p>
            <w:pPr>
              <w:spacing w:after="0"/>
              <w:rPr>
                <w:rFonts w:ascii="Arial" w:cs="Arial" w:eastAsia="Arial" w:hAnsi="Arial"/>
                <w:sz w:val="14"/>
                <w:szCs w:val="14"/>
                <w:color w:val="0000FF"/>
                <w:w w:val="96"/>
              </w:rPr>
            </w:pPr>
            <w:hyperlink w:anchor="page74">
              <w:r>
                <w:rPr>
                  <w:rFonts w:ascii="Arial" w:cs="Arial" w:eastAsia="Arial" w:hAnsi="Arial"/>
                  <w:sz w:val="14"/>
                  <w:szCs w:val="14"/>
                  <w:color w:val="0000FF"/>
                  <w:w w:val="96"/>
                </w:rPr>
                <w:t>Certification of Principal Executive Officer pursuant to Rule 13a-14(a) of the Exchange Act, as adopted pursuant to</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00" w:type="dxa"/>
            <w:vAlign w:val="bottom"/>
            <w:tcBorders>
              <w:bottom w:val="single" w:sz="8" w:color="0000FF"/>
            </w:tcBorders>
            <w:gridSpan w:val="3"/>
          </w:tcPr>
          <w:p>
            <w:pPr>
              <w:spacing w:after="0"/>
              <w:rPr>
                <w:rFonts w:ascii="Arial" w:cs="Arial" w:eastAsia="Arial" w:hAnsi="Arial"/>
                <w:sz w:val="14"/>
                <w:szCs w:val="14"/>
                <w:color w:val="0000FF"/>
                <w:w w:val="91"/>
              </w:rPr>
            </w:pPr>
            <w:hyperlink w:anchor="page74">
              <w:r>
                <w:rPr>
                  <w:rFonts w:ascii="Arial" w:cs="Arial" w:eastAsia="Arial" w:hAnsi="Arial"/>
                  <w:sz w:val="14"/>
                  <w:szCs w:val="14"/>
                  <w:color w:val="0000FF"/>
                  <w:w w:val="91"/>
                </w:rPr>
                <w:t>Section 302 of the Sarbanes-Oxley Act of 2002</w:t>
              </w:r>
            </w:hyperlink>
          </w:p>
        </w:tc>
        <w:tc>
          <w:tcPr>
            <w:tcW w:w="41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60" w:type="dxa"/>
            <w:vAlign w:val="bottom"/>
            <w:gridSpan w:val="3"/>
          </w:tcPr>
          <w:p>
            <w:pPr>
              <w:ind w:left="40"/>
              <w:spacing w:after="0"/>
              <w:rPr>
                <w:rFonts w:ascii="Arial" w:cs="Arial" w:eastAsia="Arial" w:hAnsi="Arial"/>
                <w:sz w:val="14"/>
                <w:szCs w:val="14"/>
                <w:color w:val="0000FF"/>
                <w:w w:val="85"/>
              </w:rPr>
            </w:pPr>
            <w:hyperlink w:anchor="page75">
              <w:r>
                <w:rPr>
                  <w:rFonts w:ascii="Arial" w:cs="Arial" w:eastAsia="Arial" w:hAnsi="Arial"/>
                  <w:sz w:val="14"/>
                  <w:szCs w:val="14"/>
                  <w:color w:val="0000FF"/>
                  <w:w w:val="85"/>
                </w:rPr>
                <w:t>31.</w:t>
              </w:r>
              <w:r>
                <w:rPr>
                  <w:rFonts w:ascii="Arial" w:cs="Arial" w:eastAsia="Arial" w:hAnsi="Arial"/>
                  <w:sz w:val="14"/>
                  <w:szCs w:val="14"/>
                  <w:u w:val="single" w:color="auto"/>
                  <w:color w:val="0000FF"/>
                  <w:w w:val="85"/>
                </w:rPr>
                <w:t>2*</w:t>
              </w:r>
            </w:hyperlink>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11"/>
          </w:tcPr>
          <w:p>
            <w:pPr>
              <w:spacing w:after="0"/>
              <w:rPr>
                <w:rFonts w:ascii="Arial" w:cs="Arial" w:eastAsia="Arial" w:hAnsi="Arial"/>
                <w:sz w:val="14"/>
                <w:szCs w:val="14"/>
                <w:color w:val="0000FF"/>
                <w:w w:val="96"/>
              </w:rPr>
            </w:pPr>
            <w:hyperlink w:anchor="page75">
              <w:r>
                <w:rPr>
                  <w:rFonts w:ascii="Arial" w:cs="Arial" w:eastAsia="Arial" w:hAnsi="Arial"/>
                  <w:sz w:val="14"/>
                  <w:szCs w:val="14"/>
                  <w:color w:val="0000FF"/>
                  <w:w w:val="96"/>
                </w:rPr>
                <w:t>Certification of Principal Financial Officer pursuant to Rule 13a-14(a) of the Exchange Act, as adopted pursuant to</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40" w:type="dxa"/>
            <w:vAlign w:val="bottom"/>
            <w:gridSpan w:val="7"/>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tcBorders>
              <w:bottom w:val="single" w:sz="8" w:color="0000FF"/>
            </w:tcBorders>
            <w:gridSpan w:val="3"/>
          </w:tcPr>
          <w:p>
            <w:pPr>
              <w:spacing w:after="0"/>
              <w:rPr>
                <w:rFonts w:ascii="Arial" w:cs="Arial" w:eastAsia="Arial" w:hAnsi="Arial"/>
                <w:sz w:val="14"/>
                <w:szCs w:val="14"/>
                <w:color w:val="0000FF"/>
                <w:w w:val="91"/>
              </w:rPr>
            </w:pPr>
            <w:hyperlink w:anchor="page75">
              <w:r>
                <w:rPr>
                  <w:rFonts w:ascii="Arial" w:cs="Arial" w:eastAsia="Arial" w:hAnsi="Arial"/>
                  <w:sz w:val="14"/>
                  <w:szCs w:val="14"/>
                  <w:color w:val="0000FF"/>
                  <w:w w:val="91"/>
                </w:rPr>
                <w:t>Section 302 of the Sarbanes-Oxley Act of 2002</w:t>
              </w:r>
            </w:hyperlink>
          </w:p>
        </w:tc>
        <w:tc>
          <w:tcPr>
            <w:tcW w:w="41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gridSpan w:val="4"/>
          </w:tcPr>
          <w:p>
            <w:pPr>
              <w:ind w:left="40"/>
              <w:spacing w:after="0"/>
              <w:rPr>
                <w:rFonts w:ascii="Arial" w:cs="Arial" w:eastAsia="Arial" w:hAnsi="Arial"/>
                <w:sz w:val="14"/>
                <w:szCs w:val="14"/>
                <w:color w:val="0000FF"/>
              </w:rPr>
            </w:pPr>
            <w:hyperlink w:anchor="page76">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gridSpan w:val="11"/>
          </w:tcPr>
          <w:p>
            <w:pPr>
              <w:spacing w:after="0"/>
              <w:rPr>
                <w:rFonts w:ascii="Arial" w:cs="Arial" w:eastAsia="Arial" w:hAnsi="Arial"/>
                <w:sz w:val="14"/>
                <w:szCs w:val="14"/>
                <w:color w:val="0000FF"/>
                <w:w w:val="96"/>
              </w:rPr>
            </w:pPr>
            <w:hyperlink w:anchor="page76">
              <w:r>
                <w:rPr>
                  <w:rFonts w:ascii="Arial" w:cs="Arial" w:eastAsia="Arial" w:hAnsi="Arial"/>
                  <w:sz w:val="14"/>
                  <w:szCs w:val="14"/>
                  <w:color w:val="0000FF"/>
                  <w:w w:val="96"/>
                </w:rPr>
                <w:t>Certification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gridSpan w:val="4"/>
          </w:tcPr>
          <w:p>
            <w:pPr>
              <w:ind w:left="80"/>
              <w:spacing w:after="0"/>
              <w:rPr>
                <w:rFonts w:ascii="Arial" w:cs="Arial" w:eastAsia="Arial" w:hAnsi="Arial"/>
                <w:sz w:val="14"/>
                <w:szCs w:val="14"/>
                <w:color w:val="0000FF"/>
                <w:w w:val="83"/>
              </w:rPr>
            </w:pPr>
            <w:hyperlink w:anchor="page76">
              <w:r>
                <w:rPr>
                  <w:rFonts w:ascii="Arial" w:cs="Arial" w:eastAsia="Arial" w:hAnsi="Arial"/>
                  <w:sz w:val="14"/>
                  <w:szCs w:val="14"/>
                  <w:color w:val="0000FF"/>
                  <w:w w:val="83"/>
                </w:rPr>
                <w:t>2002</w:t>
              </w:r>
            </w:hyperlink>
          </w:p>
        </w:tc>
        <w:tc>
          <w:tcPr>
            <w:tcW w:w="2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5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101.INS*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40" w:type="dxa"/>
            <w:vAlign w:val="bottom"/>
            <w:gridSpan w:val="11"/>
          </w:tcPr>
          <w:p>
            <w:pPr>
              <w:spacing w:after="0"/>
              <w:rPr>
                <w:sz w:val="20"/>
                <w:szCs w:val="20"/>
                <w:color w:val="auto"/>
              </w:rPr>
            </w:pPr>
            <w:r>
              <w:rPr>
                <w:rFonts w:ascii="Arial" w:cs="Arial" w:eastAsia="Arial" w:hAnsi="Arial"/>
                <w:sz w:val="14"/>
                <w:szCs w:val="14"/>
                <w:color w:val="auto"/>
                <w:w w:val="93"/>
              </w:rPr>
              <w:t>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11"/>
          </w:tcPr>
          <w:p>
            <w:pPr>
              <w:spacing w:after="0"/>
              <w:rPr>
                <w:sz w:val="20"/>
                <w:szCs w:val="20"/>
                <w:color w:val="auto"/>
              </w:rPr>
            </w:pPr>
            <w:r>
              <w:rPr>
                <w:rFonts w:ascii="Arial" w:cs="Arial" w:eastAsia="Arial" w:hAnsi="Arial"/>
                <w:sz w:val="14"/>
                <w:szCs w:val="14"/>
                <w:color w:val="auto"/>
              </w:rPr>
              <w:t>are embedded within the Inline XBRL document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101.SCH*</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11"/>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11"/>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101.DEF*</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11"/>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11"/>
          </w:tcPr>
          <w:p>
            <w:pPr>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101.PRE*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11"/>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r>
        <w:trPr>
          <w:trHeight w:val="192"/>
        </w:trPr>
        <w:tc>
          <w:tcPr>
            <w:tcW w:w="360" w:type="dxa"/>
            <w:vAlign w:val="bottom"/>
            <w:gridSpan w:val="3"/>
          </w:tcPr>
          <w:p>
            <w:pPr>
              <w:ind w:left="40"/>
              <w:spacing w:after="0"/>
              <w:rPr>
                <w:sz w:val="20"/>
                <w:szCs w:val="20"/>
                <w:color w:val="auto"/>
              </w:rPr>
            </w:pPr>
            <w:r>
              <w:rPr>
                <w:rFonts w:ascii="Arial" w:cs="Arial" w:eastAsia="Arial" w:hAnsi="Arial"/>
                <w:sz w:val="14"/>
                <w:szCs w:val="14"/>
                <w:color w:val="auto"/>
                <w:w w:val="97"/>
              </w:rPr>
              <w:t>104*</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11"/>
          </w:tcPr>
          <w:p>
            <w:pPr>
              <w:spacing w:after="0"/>
              <w:rPr>
                <w:sz w:val="20"/>
                <w:szCs w:val="20"/>
                <w:color w:val="auto"/>
              </w:rPr>
            </w:pPr>
            <w:r>
              <w:rPr>
                <w:rFonts w:ascii="Arial" w:cs="Arial" w:eastAsia="Arial" w:hAnsi="Arial"/>
                <w:sz w:val="14"/>
                <w:szCs w:val="14"/>
                <w:color w:val="auto"/>
              </w:rPr>
              <w:t>Cover Page Interactive Data File (formation in Inline XBRL and contained in Exhibit 101)</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560" w:hanging="502"/>
        <w:spacing w:after="0"/>
        <w:tabs>
          <w:tab w:leader="none" w:pos="15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70" w:lineRule="exact"/>
        <w:rPr>
          <w:sz w:val="20"/>
          <w:szCs w:val="20"/>
          <w:color w:val="auto"/>
        </w:rPr>
      </w:pPr>
    </w:p>
    <w:p>
      <w:pPr>
        <w:ind w:left="1560" w:hanging="502"/>
        <w:spacing w:after="0"/>
        <w:tabs>
          <w:tab w:leader="none" w:pos="1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9" w:lineRule="exact"/>
        <w:rPr>
          <w:sz w:val="20"/>
          <w:szCs w:val="20"/>
          <w:color w:val="auto"/>
        </w:rPr>
      </w:pPr>
    </w:p>
    <w:p>
      <w:pPr>
        <w:ind w:left="1560" w:hanging="502"/>
        <w:spacing w:after="0"/>
        <w:tabs>
          <w:tab w:leader="none" w:pos="15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Indicates a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9019"/>
          </w:cols>
          <w:pgMar w:left="1440" w:top="406" w:right="1440" w:bottom="1440" w:gutter="0" w:footer="0" w:header="0"/>
        </w:sectPr>
      </w:pPr>
    </w:p>
    <w:bookmarkStart w:id="62" w:name="page63"/>
    <w:bookmarkEnd w:id="62"/>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88"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SIGNATURE</w:t>
      </w:r>
    </w:p>
    <w:p>
      <w:pPr>
        <w:spacing w:after="0" w:line="177" w:lineRule="exact"/>
        <w:rPr>
          <w:sz w:val="20"/>
          <w:szCs w:val="20"/>
          <w:color w:val="auto"/>
        </w:rPr>
      </w:pPr>
    </w:p>
    <w:p>
      <w:pPr>
        <w:ind w:left="680" w:right="579" w:firstLine="384"/>
        <w:spacing w:after="0" w:line="294"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tbl>
      <w:tblPr>
        <w:tblLayout w:type="fixed"/>
        <w:tblInd w:w="700" w:type="dxa"/>
        <w:tblCellMar>
          <w:top w:w="0" w:type="dxa"/>
          <w:left w:w="0" w:type="dxa"/>
          <w:bottom w:w="0" w:type="dxa"/>
          <w:right w:w="0" w:type="dxa"/>
        </w:tblCellMar>
      </w:tblPr>
      <w:tr>
        <w:trPr>
          <w:trHeight w:val="181"/>
        </w:trPr>
        <w:tc>
          <w:tcPr>
            <w:tcW w:w="3420" w:type="dxa"/>
            <w:vAlign w:val="bottom"/>
          </w:tcPr>
          <w:p>
            <w:pPr>
              <w:spacing w:after="0"/>
              <w:rPr>
                <w:sz w:val="15"/>
                <w:szCs w:val="15"/>
                <w:color w:val="auto"/>
              </w:rPr>
            </w:pPr>
          </w:p>
        </w:tc>
        <w:tc>
          <w:tcPr>
            <w:tcW w:w="4340" w:type="dxa"/>
            <w:vAlign w:val="bottom"/>
          </w:tcPr>
          <w:p>
            <w:pPr>
              <w:ind w:left="560"/>
              <w:spacing w:after="0"/>
              <w:rPr>
                <w:sz w:val="20"/>
                <w:szCs w:val="20"/>
                <w:color w:val="auto"/>
              </w:rPr>
            </w:pPr>
            <w:r>
              <w:rPr>
                <w:rFonts w:ascii="Arial" w:cs="Arial" w:eastAsia="Arial" w:hAnsi="Arial"/>
                <w:sz w:val="14"/>
                <w:szCs w:val="14"/>
                <w:color w:val="auto"/>
              </w:rPr>
              <w:t>CrossFirst Bankshares Inc.</w:t>
            </w:r>
          </w:p>
        </w:tc>
      </w:tr>
      <w:tr>
        <w:trPr>
          <w:trHeight w:val="311"/>
        </w:trPr>
        <w:tc>
          <w:tcPr>
            <w:tcW w:w="3420" w:type="dxa"/>
            <w:vAlign w:val="bottom"/>
          </w:tcPr>
          <w:p>
            <w:pPr>
              <w:spacing w:after="0"/>
              <w:rPr>
                <w:sz w:val="20"/>
                <w:szCs w:val="20"/>
                <w:color w:val="auto"/>
              </w:rPr>
            </w:pPr>
            <w:r>
              <w:rPr>
                <w:rFonts w:ascii="Arial" w:cs="Arial" w:eastAsia="Arial" w:hAnsi="Arial"/>
                <w:sz w:val="14"/>
                <w:szCs w:val="14"/>
                <w:color w:val="auto"/>
              </w:rPr>
              <w:t>November 2, 2021</w:t>
            </w:r>
          </w:p>
        </w:tc>
        <w:tc>
          <w:tcPr>
            <w:tcW w:w="43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/s/ Benjamin R. Clouse</w:t>
            </w:r>
          </w:p>
        </w:tc>
      </w:tr>
      <w:tr>
        <w:trPr>
          <w:trHeight w:val="149"/>
        </w:trPr>
        <w:tc>
          <w:tcPr>
            <w:tcW w:w="3420" w:type="dxa"/>
            <w:vAlign w:val="bottom"/>
          </w:tcPr>
          <w:p>
            <w:pPr>
              <w:spacing w:after="0"/>
              <w:rPr>
                <w:sz w:val="12"/>
                <w:szCs w:val="12"/>
                <w:color w:val="auto"/>
              </w:rPr>
            </w:pPr>
          </w:p>
        </w:tc>
        <w:tc>
          <w:tcPr>
            <w:tcW w:w="4340" w:type="dxa"/>
            <w:vAlign w:val="bottom"/>
          </w:tcPr>
          <w:p>
            <w:pPr>
              <w:ind w:left="560"/>
              <w:spacing w:after="0" w:line="149" w:lineRule="exact"/>
              <w:rPr>
                <w:sz w:val="20"/>
                <w:szCs w:val="20"/>
                <w:color w:val="auto"/>
              </w:rPr>
            </w:pPr>
            <w:r>
              <w:rPr>
                <w:rFonts w:ascii="Arial" w:cs="Arial" w:eastAsia="Arial" w:hAnsi="Arial"/>
                <w:sz w:val="14"/>
                <w:szCs w:val="14"/>
                <w:color w:val="auto"/>
              </w:rPr>
              <w:t>Benjamin R. Clouse</w:t>
            </w:r>
          </w:p>
        </w:tc>
      </w:tr>
      <w:tr>
        <w:trPr>
          <w:trHeight w:val="171"/>
        </w:trPr>
        <w:tc>
          <w:tcPr>
            <w:tcW w:w="3420" w:type="dxa"/>
            <w:vAlign w:val="bottom"/>
          </w:tcPr>
          <w:p>
            <w:pPr>
              <w:spacing w:after="0"/>
              <w:rPr>
                <w:sz w:val="14"/>
                <w:szCs w:val="14"/>
                <w:color w:val="auto"/>
              </w:rPr>
            </w:pPr>
          </w:p>
        </w:tc>
        <w:tc>
          <w:tcPr>
            <w:tcW w:w="4340" w:type="dxa"/>
            <w:vAlign w:val="bottom"/>
          </w:tcPr>
          <w:p>
            <w:pPr>
              <w:ind w:left="560"/>
              <w:spacing w:after="0"/>
              <w:rPr>
                <w:sz w:val="20"/>
                <w:szCs w:val="20"/>
                <w:color w:val="auto"/>
              </w:rPr>
            </w:pPr>
            <w:r>
              <w:rPr>
                <w:rFonts w:ascii="Arial" w:cs="Arial" w:eastAsia="Arial" w:hAnsi="Arial"/>
                <w:sz w:val="14"/>
                <w:szCs w:val="14"/>
                <w:color w:val="auto"/>
              </w:rPr>
              <w:t>Chief Financial Officer</w:t>
            </w:r>
          </w:p>
        </w:tc>
      </w:tr>
      <w:tr>
        <w:trPr>
          <w:trHeight w:val="181"/>
        </w:trPr>
        <w:tc>
          <w:tcPr>
            <w:tcW w:w="3420" w:type="dxa"/>
            <w:vAlign w:val="bottom"/>
          </w:tcPr>
          <w:p>
            <w:pPr>
              <w:spacing w:after="0"/>
              <w:rPr>
                <w:sz w:val="15"/>
                <w:szCs w:val="15"/>
                <w:color w:val="auto"/>
              </w:rPr>
            </w:pPr>
          </w:p>
        </w:tc>
        <w:tc>
          <w:tcPr>
            <w:tcW w:w="4340" w:type="dxa"/>
            <w:vAlign w:val="bottom"/>
          </w:tcPr>
          <w:p>
            <w:pPr>
              <w:ind w:left="560"/>
              <w:spacing w:after="0"/>
              <w:rPr>
                <w:sz w:val="20"/>
                <w:szCs w:val="20"/>
                <w:color w:val="auto"/>
              </w:rPr>
            </w:pPr>
            <w:r>
              <w:rPr>
                <w:rFonts w:ascii="Arial" w:cs="Arial" w:eastAsia="Arial" w:hAnsi="Arial"/>
                <w:sz w:val="14"/>
                <w:szCs w:val="14"/>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9019"/>
          </w:cols>
          <w:pgMar w:left="1440" w:top="406" w:right="1440" w:bottom="1440" w:gutter="0" w:footer="0" w:header="0"/>
        </w:sectPr>
      </w:pPr>
    </w:p>
    <w:bookmarkStart w:id="63" w:name="page64"/>
    <w:bookmarkEnd w:id="63"/>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EMPLOYMENT AGREEMENT</w:t>
      </w:r>
    </w:p>
    <w:p>
      <w:pPr>
        <w:spacing w:after="0" w:line="198" w:lineRule="exact"/>
        <w:rPr>
          <w:sz w:val="20"/>
          <w:szCs w:val="20"/>
          <w:color w:val="auto"/>
        </w:rPr>
      </w:pPr>
    </w:p>
    <w:p>
      <w:pPr>
        <w:ind w:left="1180" w:right="679" w:firstLine="512"/>
        <w:spacing w:after="0" w:line="257" w:lineRule="auto"/>
        <w:rPr>
          <w:sz w:val="20"/>
          <w:szCs w:val="20"/>
          <w:color w:val="auto"/>
        </w:rPr>
      </w:pPr>
      <w:r>
        <w:rPr>
          <w:rFonts w:ascii="Arial" w:cs="Arial" w:eastAsia="Arial" w:hAnsi="Arial"/>
          <w:sz w:val="16"/>
          <w:szCs w:val="16"/>
          <w:color w:val="auto"/>
        </w:rPr>
        <w:t>THIS EMPLOYMENT AGREEMENT (the "Agreement”) is effective as of July 12,(the2021 "Effective Date")</w:t>
      </w:r>
      <w:r>
        <w:rPr>
          <w:rFonts w:ascii="Arial" w:cs="Arial" w:eastAsia="Arial" w:hAnsi="Arial"/>
          <w:sz w:val="16"/>
          <w:szCs w:val="16"/>
          <w:b w:val="1"/>
          <w:bCs w:val="1"/>
          <w:color w:val="auto"/>
        </w:rPr>
        <w:t>,</w:t>
      </w:r>
      <w:r>
        <w:rPr>
          <w:rFonts w:ascii="Arial" w:cs="Arial" w:eastAsia="Arial" w:hAnsi="Arial"/>
          <w:sz w:val="16"/>
          <w:szCs w:val="16"/>
          <w:color w:val="auto"/>
        </w:rPr>
        <w:t>is by and between CrossFirst Bankshares, Inc. a Kansas Corporation (the "Company"), and Benjamin R. Clouse ("Employee"), with reference to the following facts:</w:t>
      </w:r>
    </w:p>
    <w:p>
      <w:pPr>
        <w:spacing w:after="0" w:line="14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RECITALS:</w:t>
      </w:r>
    </w:p>
    <w:p>
      <w:pPr>
        <w:spacing w:after="0" w:line="189" w:lineRule="exact"/>
        <w:rPr>
          <w:sz w:val="20"/>
          <w:szCs w:val="20"/>
          <w:color w:val="auto"/>
        </w:rPr>
      </w:pPr>
    </w:p>
    <w:p>
      <w:pPr>
        <w:ind w:left="1180" w:right="679" w:firstLine="512"/>
        <w:spacing w:after="0" w:line="352" w:lineRule="auto"/>
        <w:rPr>
          <w:sz w:val="20"/>
          <w:szCs w:val="20"/>
          <w:color w:val="auto"/>
        </w:rPr>
      </w:pPr>
      <w:r>
        <w:rPr>
          <w:rFonts w:ascii="Arial" w:cs="Arial" w:eastAsia="Arial" w:hAnsi="Arial"/>
          <w:sz w:val="14"/>
          <w:szCs w:val="14"/>
          <w:color w:val="auto"/>
        </w:rPr>
        <w:t>The parties have agreed to execute this Agreement in order to memorialize the terms and conditions on which the Company shall employ Employee from and after the Effective Date of this Agreement.</w:t>
      </w:r>
    </w:p>
    <w:p>
      <w:pPr>
        <w:spacing w:after="0" w:line="83" w:lineRule="exact"/>
        <w:rPr>
          <w:sz w:val="20"/>
          <w:szCs w:val="20"/>
          <w:color w:val="auto"/>
        </w:rPr>
      </w:pPr>
    </w:p>
    <w:p>
      <w:pPr>
        <w:ind w:left="1180" w:right="759" w:firstLine="512"/>
        <w:spacing w:after="0" w:line="248" w:lineRule="auto"/>
        <w:rPr>
          <w:sz w:val="20"/>
          <w:szCs w:val="20"/>
          <w:color w:val="auto"/>
        </w:rPr>
      </w:pPr>
      <w:r>
        <w:rPr>
          <w:rFonts w:ascii="Arial" w:cs="Arial" w:eastAsia="Arial" w:hAnsi="Arial"/>
          <w:sz w:val="17"/>
          <w:szCs w:val="17"/>
          <w:color w:val="auto"/>
        </w:rPr>
        <w:t>Certain rights described below may inure to the benefit of other companies affiliated with the Company by virtue of being controlled by the Company (“Affiliated Companies”).</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AGREEMENTS:</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Now, THEREFORE, the parties hereto, intending to be legally bound, do hereby agree as follows:</w:t>
      </w:r>
    </w:p>
    <w:p>
      <w:pPr>
        <w:spacing w:after="0" w:line="200" w:lineRule="exact"/>
        <w:rPr>
          <w:sz w:val="20"/>
          <w:szCs w:val="20"/>
          <w:color w:val="auto"/>
        </w:rPr>
      </w:pPr>
    </w:p>
    <w:p>
      <w:pPr>
        <w:ind w:left="1600" w:hanging="414"/>
        <w:spacing w:after="0"/>
        <w:tabs>
          <w:tab w:leader="none" w:pos="1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POSITION AND DUTIES.</w:t>
      </w:r>
    </w:p>
    <w:p>
      <w:pPr>
        <w:spacing w:after="0" w:line="177" w:lineRule="exact"/>
        <w:rPr>
          <w:rFonts w:ascii="Arial" w:cs="Arial" w:eastAsia="Arial" w:hAnsi="Arial"/>
          <w:sz w:val="17"/>
          <w:szCs w:val="17"/>
          <w:color w:val="auto"/>
        </w:rPr>
      </w:pPr>
    </w:p>
    <w:p>
      <w:pPr>
        <w:ind w:left="1600" w:right="759"/>
        <w:spacing w:after="0" w:line="248" w:lineRule="auto"/>
        <w:rPr>
          <w:rFonts w:ascii="Arial" w:cs="Arial" w:eastAsia="Arial" w:hAnsi="Arial"/>
          <w:sz w:val="17"/>
          <w:szCs w:val="17"/>
          <w:color w:val="auto"/>
        </w:rPr>
      </w:pPr>
      <w:r>
        <w:rPr>
          <w:rFonts w:ascii="Arial" w:cs="Arial" w:eastAsia="Arial" w:hAnsi="Arial"/>
          <w:sz w:val="17"/>
          <w:szCs w:val="17"/>
          <w:color w:val="auto"/>
        </w:rPr>
        <w:t>1.1 POSITION AND TITLE. The Company hereby hires Employee to serve as Managing Partner, Chief Financial Officer.</w:t>
      </w:r>
    </w:p>
    <w:p>
      <w:pPr>
        <w:spacing w:after="0" w:line="161" w:lineRule="exact"/>
        <w:rPr>
          <w:rFonts w:ascii="Arial" w:cs="Arial" w:eastAsia="Arial" w:hAnsi="Arial"/>
          <w:sz w:val="17"/>
          <w:szCs w:val="17"/>
          <w:color w:val="auto"/>
        </w:rPr>
      </w:pPr>
    </w:p>
    <w:p>
      <w:pPr>
        <w:jc w:val="both"/>
        <w:ind w:left="2100" w:right="799" w:firstLine="8"/>
        <w:spacing w:after="0" w:line="228" w:lineRule="auto"/>
        <w:tabs>
          <w:tab w:leader="none" w:pos="2348" w:val="left"/>
        </w:tabs>
        <w:numPr>
          <w:ilvl w:val="1"/>
          <w:numId w:val="23"/>
        </w:numPr>
        <w:rPr>
          <w:rFonts w:ascii="Arial" w:cs="Arial" w:eastAsia="Arial" w:hAnsi="Arial"/>
          <w:sz w:val="17"/>
          <w:szCs w:val="17"/>
          <w:color w:val="auto"/>
        </w:rPr>
      </w:pPr>
      <w:r>
        <w:rPr>
          <w:rFonts w:ascii="Arial" w:cs="Arial" w:eastAsia="Arial" w:hAnsi="Arial"/>
          <w:sz w:val="17"/>
          <w:szCs w:val="17"/>
          <w:color w:val="auto"/>
        </w:rPr>
        <w:t>LIMITS ON AUTHORITY. Employee shall, to the best of his abilities, perform his duties in such capacity pursuant to this Agreement in compliance with applicable law, consistent with such direction as the Company provides to Employee from time to time, and in accordance with Company's policies and procedures as published from time to time.</w:t>
      </w:r>
    </w:p>
    <w:p>
      <w:pPr>
        <w:spacing w:after="0" w:line="170" w:lineRule="exact"/>
        <w:rPr>
          <w:rFonts w:ascii="Arial" w:cs="Arial" w:eastAsia="Arial" w:hAnsi="Arial"/>
          <w:sz w:val="17"/>
          <w:szCs w:val="17"/>
          <w:color w:val="auto"/>
        </w:rPr>
      </w:pPr>
    </w:p>
    <w:p>
      <w:pPr>
        <w:ind w:left="2100" w:right="719" w:firstLine="3"/>
        <w:spacing w:after="0" w:line="254" w:lineRule="auto"/>
        <w:tabs>
          <w:tab w:leader="none" w:pos="2342" w:val="left"/>
        </w:tabs>
        <w:numPr>
          <w:ilvl w:val="1"/>
          <w:numId w:val="23"/>
        </w:numPr>
        <w:rPr>
          <w:rFonts w:ascii="Arial" w:cs="Arial" w:eastAsia="Arial" w:hAnsi="Arial"/>
          <w:sz w:val="15"/>
          <w:szCs w:val="15"/>
          <w:color w:val="auto"/>
        </w:rPr>
      </w:pPr>
      <w:r>
        <w:rPr>
          <w:rFonts w:ascii="Arial" w:cs="Arial" w:eastAsia="Arial" w:hAnsi="Arial"/>
          <w:sz w:val="15"/>
          <w:szCs w:val="15"/>
          <w:color w:val="auto"/>
        </w:rPr>
        <w:t>REPORTING AND AUTHORITY. Employee shall report to the Company as directed by the Company. Subject to the directions of the Company, Employee shall have full authority and responsibility for supervising and managing to the best of his ability, the daily affairs in his scope of work or as assigned including but not limited to: (i) presenting to the Company all business opportunities that come to his attention that are reasonably in the scope of business of the Company; (ii) working with the Company to develop and approve business objectives, policies and plans that improve the Company’s profitability; (iii) communicating business objectives and plans to subordinates, (iv) ensuring that plans and policies are promulgated to and implemented by subordinate managers, (v) ensuring that each business plan provides those functions required for achieving its business objectives and that each plan is properly organized, staffed and directed to fulfill its responsibilities, (vi) assisting the Company in directing periodic reviews of the Company's strategic position and combining this information with corollary analysis of the Company's production and financial resources, (vii) providing periodic financial information concerning the operations of the projects and growth plans to the Company, and (viii) ensuring that the operation of the projects comply with applicable laws.</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406" w:right="1440" w:bottom="1440" w:gutter="0" w:footer="0" w:header="0"/>
        </w:sectPr>
      </w:pPr>
    </w:p>
    <w:bookmarkStart w:id="64" w:name="page65"/>
    <w:bookmarkEnd w:id="64"/>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67" w:lineRule="exact"/>
        <w:rPr>
          <w:sz w:val="20"/>
          <w:szCs w:val="20"/>
          <w:color w:val="auto"/>
        </w:rPr>
      </w:pPr>
    </w:p>
    <w:p>
      <w:pPr>
        <w:ind w:left="1600" w:right="699"/>
        <w:spacing w:after="0" w:line="238" w:lineRule="auto"/>
        <w:rPr>
          <w:sz w:val="20"/>
          <w:szCs w:val="20"/>
          <w:color w:val="auto"/>
        </w:rPr>
      </w:pPr>
      <w:r>
        <w:rPr>
          <w:rFonts w:ascii="Arial" w:cs="Arial" w:eastAsia="Arial" w:hAnsi="Arial"/>
          <w:sz w:val="16"/>
          <w:szCs w:val="16"/>
          <w:color w:val="auto"/>
        </w:rPr>
        <w:t>1.2 ACCEPTANCE. Employee hereby accepts employment by the Company in the capacity set forth in Section 1.1, above, and agrees to perform the duties of such position from and</w:t>
      </w:r>
    </w:p>
    <w:p>
      <w:pPr>
        <w:spacing w:after="0" w:line="1" w:lineRule="exact"/>
        <w:rPr>
          <w:sz w:val="20"/>
          <w:szCs w:val="20"/>
          <w:color w:val="auto"/>
        </w:rPr>
      </w:pPr>
    </w:p>
    <w:p>
      <w:pPr>
        <w:jc w:val="both"/>
        <w:ind w:left="1600" w:right="679"/>
        <w:spacing w:after="0" w:line="229" w:lineRule="auto"/>
        <w:rPr>
          <w:sz w:val="20"/>
          <w:szCs w:val="20"/>
          <w:color w:val="auto"/>
        </w:rPr>
      </w:pPr>
      <w:r>
        <w:rPr>
          <w:rFonts w:ascii="Arial" w:cs="Arial" w:eastAsia="Arial" w:hAnsi="Arial"/>
          <w:sz w:val="17"/>
          <w:szCs w:val="17"/>
          <w:color w:val="auto"/>
        </w:rPr>
        <w:t>after the Effective Date of this Agreement in a diligent, efficient, trustworthy, and businesslike manner. Employee agrees that, to the best of the Employee's ability and experience, Employee at all times shall loyally and conscientiously discharge all of the duties and responsibilities imposed upon Employee pursuant to this Agreement.</w:t>
      </w:r>
    </w:p>
    <w:p>
      <w:pPr>
        <w:spacing w:after="0" w:line="157" w:lineRule="exact"/>
        <w:rPr>
          <w:sz w:val="20"/>
          <w:szCs w:val="20"/>
          <w:color w:val="auto"/>
        </w:rPr>
      </w:pPr>
    </w:p>
    <w:p>
      <w:pPr>
        <w:jc w:val="both"/>
        <w:ind w:left="1600" w:right="679"/>
        <w:spacing w:after="0" w:line="233" w:lineRule="auto"/>
        <w:rPr>
          <w:sz w:val="20"/>
          <w:szCs w:val="20"/>
          <w:color w:val="auto"/>
        </w:rPr>
      </w:pPr>
      <w:r>
        <w:rPr>
          <w:rFonts w:ascii="Arial" w:cs="Arial" w:eastAsia="Arial" w:hAnsi="Arial"/>
          <w:sz w:val="17"/>
          <w:szCs w:val="17"/>
          <w:color w:val="auto"/>
        </w:rPr>
        <w:t>1.3 BUSINESS TIME. Employee shall devote his exclusive business time to the performance of his duties to the Company under Section 1.1 and elsewhere in this Agreement. Employee shall not undertake any activities that conflict with or significantly detract from his primary duties to the Company.</w:t>
      </w:r>
    </w:p>
    <w:p>
      <w:pPr>
        <w:spacing w:after="0" w:line="169" w:lineRule="exact"/>
        <w:rPr>
          <w:sz w:val="20"/>
          <w:szCs w:val="20"/>
          <w:color w:val="auto"/>
        </w:rPr>
      </w:pPr>
    </w:p>
    <w:p>
      <w:pPr>
        <w:ind w:left="1600" w:right="739"/>
        <w:spacing w:after="0" w:line="254" w:lineRule="auto"/>
        <w:rPr>
          <w:sz w:val="20"/>
          <w:szCs w:val="20"/>
          <w:color w:val="auto"/>
        </w:rPr>
      </w:pPr>
      <w:r>
        <w:rPr>
          <w:rFonts w:ascii="Arial" w:cs="Arial" w:eastAsia="Arial" w:hAnsi="Arial"/>
          <w:sz w:val="15"/>
          <w:szCs w:val="15"/>
          <w:color w:val="auto"/>
        </w:rPr>
        <w:t>1.4 LOCATION. Employee shall perform his duties under this Agreement primarily in Leawood, Kansas and potentially other regions of the United States where the Company, or its</w:t>
      </w:r>
    </w:p>
    <w:p>
      <w:pPr>
        <w:spacing w:after="0" w:line="1" w:lineRule="exact"/>
        <w:rPr>
          <w:sz w:val="20"/>
          <w:szCs w:val="20"/>
          <w:color w:val="auto"/>
        </w:rPr>
      </w:pPr>
    </w:p>
    <w:p>
      <w:pPr>
        <w:jc w:val="both"/>
        <w:ind w:left="1600" w:right="699"/>
        <w:spacing w:after="0" w:line="229" w:lineRule="auto"/>
        <w:rPr>
          <w:sz w:val="20"/>
          <w:szCs w:val="20"/>
          <w:color w:val="auto"/>
        </w:rPr>
      </w:pPr>
      <w:r>
        <w:rPr>
          <w:rFonts w:ascii="Arial" w:cs="Arial" w:eastAsia="Arial" w:hAnsi="Arial"/>
          <w:sz w:val="17"/>
          <w:szCs w:val="17"/>
          <w:color w:val="auto"/>
        </w:rPr>
        <w:t>Affiliated Companies, are active in conducting banking and other related service activities. Employee acknowledges and agrees that from time to time he shall be required to travel (at the cost and expense of the Company) to such other locations in order to discharge his duties under this Agreement.</w:t>
      </w:r>
    </w:p>
    <w:p>
      <w:pPr>
        <w:spacing w:after="0" w:line="157" w:lineRule="exact"/>
        <w:rPr>
          <w:sz w:val="20"/>
          <w:szCs w:val="20"/>
          <w:color w:val="auto"/>
        </w:rPr>
      </w:pPr>
    </w:p>
    <w:p>
      <w:pPr>
        <w:jc w:val="both"/>
        <w:ind w:left="1600" w:right="679"/>
        <w:spacing w:after="0" w:line="247" w:lineRule="auto"/>
        <w:rPr>
          <w:sz w:val="20"/>
          <w:szCs w:val="20"/>
          <w:color w:val="auto"/>
        </w:rPr>
      </w:pPr>
      <w:r>
        <w:rPr>
          <w:rFonts w:ascii="Arial" w:cs="Arial" w:eastAsia="Arial" w:hAnsi="Arial"/>
          <w:sz w:val="16"/>
          <w:szCs w:val="16"/>
          <w:color w:val="auto"/>
        </w:rPr>
        <w:t>1.5 TERM. The term of this Agreement commenced as of the Effective Date and shall be for a term of two (2) years, which term shall thereafter automatically renew for successive one (1) year terms unless: i) Company or Employee serve a Notice of Termination upon the other party of intent to not renew the term of this Agreement within thirty (30) days prior to the ensuing termination date, or ii) earlier terminated in accordance with Section 3, below.</w:t>
      </w:r>
    </w:p>
    <w:p>
      <w:pPr>
        <w:spacing w:after="0" w:line="152" w:lineRule="exact"/>
        <w:rPr>
          <w:sz w:val="20"/>
          <w:szCs w:val="20"/>
          <w:color w:val="auto"/>
        </w:rPr>
      </w:pPr>
    </w:p>
    <w:p>
      <w:pPr>
        <w:jc w:val="both"/>
        <w:ind w:left="1600" w:right="699"/>
        <w:spacing w:after="0" w:line="255" w:lineRule="auto"/>
        <w:rPr>
          <w:sz w:val="20"/>
          <w:szCs w:val="20"/>
          <w:color w:val="auto"/>
        </w:rPr>
      </w:pPr>
      <w:r>
        <w:rPr>
          <w:rFonts w:ascii="Arial" w:cs="Arial" w:eastAsia="Arial" w:hAnsi="Arial"/>
          <w:sz w:val="15"/>
          <w:szCs w:val="15"/>
          <w:color w:val="auto"/>
        </w:rPr>
        <w:t>1.6 STOCKHOLDING REQUIREMENT. The Board of Directors of the Company believes that it will be essential for Employee to participate in the Company’s future growth as an equity stakeholder as well as an employee. As a condition to Employee’s employment with the Company, Employee will be required to hold a minimum of four hundred thousand dollars ($400,000) worth of Company stock (“Required Stock”). As a condition of Employee’s continued employment with the Company, Employee shall not sell or transfer any Required Stock without the prior consent of the Compensation Committee of the Board of Directors (the “Compensation Committee"). In the</w:t>
      </w:r>
    </w:p>
    <w:p>
      <w:pPr>
        <w:spacing w:after="0" w:line="1" w:lineRule="exact"/>
        <w:rPr>
          <w:sz w:val="20"/>
          <w:szCs w:val="20"/>
          <w:color w:val="auto"/>
        </w:rPr>
      </w:pPr>
    </w:p>
    <w:p>
      <w:pPr>
        <w:jc w:val="both"/>
        <w:ind w:left="1600" w:right="719"/>
        <w:spacing w:after="0" w:line="244" w:lineRule="auto"/>
        <w:rPr>
          <w:sz w:val="20"/>
          <w:szCs w:val="20"/>
          <w:color w:val="auto"/>
        </w:rPr>
      </w:pPr>
      <w:r>
        <w:rPr>
          <w:rFonts w:ascii="Arial" w:cs="Arial" w:eastAsia="Arial" w:hAnsi="Arial"/>
          <w:sz w:val="15"/>
          <w:szCs w:val="15"/>
          <w:color w:val="auto"/>
        </w:rPr>
        <w:t>event Employee fails to hold sufficient Company stock with a value equal to or in excess of the required minimum value for more than ninety (90) consecutive days, and unless such requirement</w:t>
      </w:r>
    </w:p>
    <w:p>
      <w:pPr>
        <w:spacing w:after="0" w:line="1" w:lineRule="exact"/>
        <w:rPr>
          <w:sz w:val="20"/>
          <w:szCs w:val="20"/>
          <w:color w:val="auto"/>
        </w:rPr>
      </w:pPr>
    </w:p>
    <w:p>
      <w:pPr>
        <w:jc w:val="both"/>
        <w:ind w:left="1600" w:right="679"/>
        <w:spacing w:after="0" w:line="229" w:lineRule="auto"/>
        <w:rPr>
          <w:sz w:val="20"/>
          <w:szCs w:val="20"/>
          <w:color w:val="auto"/>
        </w:rPr>
      </w:pPr>
      <w:r>
        <w:rPr>
          <w:rFonts w:ascii="Arial" w:cs="Arial" w:eastAsia="Arial" w:hAnsi="Arial"/>
          <w:sz w:val="17"/>
          <w:szCs w:val="17"/>
          <w:color w:val="auto"/>
        </w:rPr>
        <w:t>is waived by the Compensation Committee, Employee shall be deemed to be in material breach of this Agreement. Employee will have three years from the date hereof to reach the Required Stock threshold, with equity compensation awards credited toward fulfillment of this requirement at their grant value.</w:t>
      </w:r>
    </w:p>
    <w:p>
      <w:pPr>
        <w:spacing w:after="0" w:line="157" w:lineRule="exact"/>
        <w:rPr>
          <w:sz w:val="20"/>
          <w:szCs w:val="20"/>
          <w:color w:val="auto"/>
        </w:rPr>
      </w:pPr>
    </w:p>
    <w:p>
      <w:pPr>
        <w:ind w:left="1180" w:right="719" w:firstLine="6"/>
        <w:spacing w:after="0" w:line="248" w:lineRule="auto"/>
        <w:tabs>
          <w:tab w:leader="none" w:pos="1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COMPENSATION. The Company shall compensate Employee for his services pursuant to this Agreement as follows:</w:t>
      </w:r>
    </w:p>
    <w:p>
      <w:pPr>
        <w:spacing w:after="0" w:line="161" w:lineRule="exact"/>
        <w:rPr>
          <w:sz w:val="20"/>
          <w:szCs w:val="20"/>
          <w:color w:val="auto"/>
        </w:rPr>
      </w:pPr>
    </w:p>
    <w:p>
      <w:pPr>
        <w:ind w:left="1600"/>
        <w:spacing w:after="0"/>
        <w:tabs>
          <w:tab w:leader="none" w:pos="21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color w:val="auto"/>
        </w:rPr>
        <w:t>BASE COMPENSATION.</w:t>
      </w:r>
    </w:p>
    <w:p>
      <w:pPr>
        <w:spacing w:after="0" w:line="178" w:lineRule="exact"/>
        <w:rPr>
          <w:sz w:val="20"/>
          <w:szCs w:val="20"/>
          <w:color w:val="auto"/>
        </w:rPr>
      </w:pPr>
    </w:p>
    <w:p>
      <w:pPr>
        <w:ind w:left="2100" w:right="819" w:firstLine="8"/>
        <w:spacing w:after="0" w:line="257" w:lineRule="auto"/>
        <w:tabs>
          <w:tab w:leader="none" w:pos="26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 SALARY. The Company shall pay to Employee an annual salary in the amount of Four Hundred and Twenty Thousand Dollars ("Base Salary"), payable in periodic installments in accordance with the Company's regular payroll practices as in</w:t>
      </w:r>
    </w:p>
    <w:p>
      <w:pPr>
        <w:spacing w:after="0" w:line="134"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effect from time to time. Such annual salary shall be subject to approval by the</w:t>
      </w:r>
    </w:p>
    <w:p>
      <w:pPr>
        <w:ind w:left="2100" w:right="739"/>
        <w:spacing w:after="0" w:line="244" w:lineRule="auto"/>
        <w:rPr>
          <w:sz w:val="20"/>
          <w:szCs w:val="20"/>
          <w:color w:val="auto"/>
        </w:rPr>
      </w:pPr>
      <w:r>
        <w:rPr>
          <w:rFonts w:ascii="Arial" w:cs="Arial" w:eastAsia="Arial" w:hAnsi="Arial"/>
          <w:sz w:val="15"/>
          <w:szCs w:val="15"/>
          <w:color w:val="auto"/>
        </w:rPr>
        <w:t>Compensation Committee. In addition, such annual salary is subject to periodic increases, in such amounts (if any) as the Company may determine to be appropriate, at the time of</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Employee's annual review pursuant to Section 2.1(b), below, or at such other times (if any)</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as the Company may select.</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406" w:right="1440" w:bottom="1440" w:gutter="0" w:footer="0" w:header="0"/>
        </w:sectPr>
      </w:pPr>
    </w:p>
    <w:bookmarkStart w:id="65" w:name="page66"/>
    <w:bookmarkEnd w:id="65"/>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67" w:lineRule="exact"/>
        <w:rPr>
          <w:sz w:val="20"/>
          <w:szCs w:val="20"/>
          <w:color w:val="auto"/>
        </w:rPr>
      </w:pPr>
    </w:p>
    <w:p>
      <w:pPr>
        <w:jc w:val="both"/>
        <w:ind w:left="2100" w:right="759" w:firstLine="8"/>
        <w:spacing w:after="0" w:line="242" w:lineRule="auto"/>
        <w:tabs>
          <w:tab w:leader="none" w:pos="262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PERIODIC REVIEWS. The Company shall review Employee's performance of his duties pursuant to this Agreement at least annually and from time to time and advise Employee of the results of that review. In connection with each such review, the Company shall evaluate whether any increase in Employee's compensation under Section 2.1(a), above, is appropriate. Any annual salary increase shall be effective as of such date as the Company, in its discretion, determines to be appropriate.</w:t>
      </w:r>
    </w:p>
    <w:p>
      <w:pPr>
        <w:spacing w:after="0" w:line="157" w:lineRule="exact"/>
        <w:rPr>
          <w:sz w:val="20"/>
          <w:szCs w:val="20"/>
          <w:color w:val="auto"/>
        </w:rPr>
      </w:pPr>
    </w:p>
    <w:p>
      <w:pPr>
        <w:ind w:left="1600"/>
        <w:spacing w:after="0"/>
        <w:tabs>
          <w:tab w:leader="none" w:pos="21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BONUSES.</w:t>
      </w:r>
    </w:p>
    <w:p>
      <w:pPr>
        <w:spacing w:after="0" w:line="189" w:lineRule="exact"/>
        <w:rPr>
          <w:sz w:val="20"/>
          <w:szCs w:val="20"/>
          <w:color w:val="auto"/>
        </w:rPr>
      </w:pPr>
    </w:p>
    <w:p>
      <w:pPr>
        <w:ind w:left="2100" w:right="739" w:firstLine="8"/>
        <w:spacing w:after="0" w:line="241" w:lineRule="auto"/>
        <w:tabs>
          <w:tab w:leader="none" w:pos="2629" w:val="left"/>
        </w:tabs>
        <w:numPr>
          <w:ilvl w:val="0"/>
          <w:numId w:val="27"/>
        </w:numPr>
        <w:rPr>
          <w:rFonts w:ascii="Arial" w:cs="Arial" w:eastAsia="Arial" w:hAnsi="Arial"/>
          <w:sz w:val="16"/>
          <w:szCs w:val="16"/>
          <w:color w:val="auto"/>
        </w:rPr>
      </w:pPr>
      <w:r>
        <w:rPr>
          <w:rFonts w:ascii="Arial" w:cs="Arial" w:eastAsia="Arial" w:hAnsi="Arial"/>
          <w:sz w:val="16"/>
          <w:szCs w:val="16"/>
          <w:color w:val="auto"/>
        </w:rPr>
        <w:t>CRITERIA. Employee shall be eligible to receive periodic incentive bonuses under the Company’s Incentive Plan (the "Bonuses") in such amounts, if any, and at such times as may be determined by the Compensation Committee, in its sole discretion. Employee’s bonus opportunity shall be 50% of Employee’s Base Salary. By no later than March 15th of each year, the Compensation Committee will define the terms and conditions of such Bonuses for Employee for the year based upon reasonable, measurable and obtainable goals for Employee and the Company.</w:t>
      </w:r>
    </w:p>
    <w:p>
      <w:pPr>
        <w:spacing w:after="0" w:line="168" w:lineRule="exact"/>
        <w:rPr>
          <w:rFonts w:ascii="Arial" w:cs="Arial" w:eastAsia="Arial" w:hAnsi="Arial"/>
          <w:sz w:val="16"/>
          <w:szCs w:val="16"/>
          <w:color w:val="auto"/>
        </w:rPr>
      </w:pPr>
    </w:p>
    <w:p>
      <w:pPr>
        <w:ind w:left="2100" w:right="859" w:firstLine="8"/>
        <w:spacing w:after="0" w:line="259" w:lineRule="auto"/>
        <w:tabs>
          <w:tab w:leader="none" w:pos="2629" w:val="left"/>
        </w:tabs>
        <w:numPr>
          <w:ilvl w:val="0"/>
          <w:numId w:val="27"/>
        </w:numPr>
        <w:rPr>
          <w:rFonts w:ascii="Arial" w:cs="Arial" w:eastAsia="Arial" w:hAnsi="Arial"/>
          <w:sz w:val="15"/>
          <w:szCs w:val="15"/>
          <w:color w:val="auto"/>
        </w:rPr>
      </w:pPr>
      <w:r>
        <w:rPr>
          <w:rFonts w:ascii="Arial" w:cs="Arial" w:eastAsia="Arial" w:hAnsi="Arial"/>
          <w:sz w:val="15"/>
          <w:szCs w:val="15"/>
          <w:color w:val="auto"/>
        </w:rPr>
        <w:t>TIMING OF PAYMENT. The Bonus, if any, payable for each calendar year during the term of this Agreement shall be payable on or before March</w:t>
      </w:r>
      <w:r>
        <w:rPr>
          <w:rFonts w:ascii="Arial" w:cs="Arial" w:eastAsia="Arial" w:hAnsi="Arial"/>
          <w:sz w:val="17"/>
          <w:szCs w:val="17"/>
          <w:color w:val="auto"/>
          <w:vertAlign w:val="superscript"/>
        </w:rPr>
        <w:t>st</w:t>
      </w:r>
      <w:r>
        <w:rPr>
          <w:rFonts w:ascii="Arial" w:cs="Arial" w:eastAsia="Arial" w:hAnsi="Arial"/>
          <w:sz w:val="15"/>
          <w:szCs w:val="15"/>
          <w:color w:val="auto"/>
        </w:rPr>
        <w:t>of 15the calendar year immediately following the end of the calendar year in which such Bonus is earned.</w:t>
      </w:r>
    </w:p>
    <w:p>
      <w:pPr>
        <w:spacing w:after="0" w:line="153" w:lineRule="exact"/>
        <w:rPr>
          <w:sz w:val="20"/>
          <w:szCs w:val="20"/>
          <w:color w:val="auto"/>
        </w:rPr>
      </w:pPr>
    </w:p>
    <w:p>
      <w:pPr>
        <w:ind w:left="1600"/>
        <w:spacing w:after="0"/>
        <w:tabs>
          <w:tab w:leader="none" w:pos="210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color w:val="auto"/>
        </w:rPr>
        <w:t>FRINGE BENEFITS/VACATION.</w:t>
      </w:r>
    </w:p>
    <w:p>
      <w:pPr>
        <w:spacing w:after="0" w:line="178" w:lineRule="exact"/>
        <w:rPr>
          <w:sz w:val="20"/>
          <w:szCs w:val="20"/>
          <w:color w:val="auto"/>
        </w:rPr>
      </w:pPr>
    </w:p>
    <w:p>
      <w:pPr>
        <w:ind w:left="2100" w:right="739" w:firstLine="8"/>
        <w:spacing w:after="0" w:line="236" w:lineRule="auto"/>
        <w:tabs>
          <w:tab w:leader="none" w:pos="2629" w:val="left"/>
        </w:tabs>
        <w:numPr>
          <w:ilvl w:val="0"/>
          <w:numId w:val="28"/>
        </w:numPr>
        <w:rPr>
          <w:rFonts w:ascii="Arial" w:cs="Arial" w:eastAsia="Arial" w:hAnsi="Arial"/>
          <w:sz w:val="17"/>
          <w:szCs w:val="17"/>
          <w:color w:val="auto"/>
        </w:rPr>
      </w:pPr>
      <w:r>
        <w:rPr>
          <w:rFonts w:ascii="Arial" w:cs="Arial" w:eastAsia="Arial" w:hAnsi="Arial"/>
          <w:sz w:val="17"/>
          <w:szCs w:val="17"/>
          <w:color w:val="auto"/>
        </w:rPr>
        <w:t>VACATION. Employee is trusted to take reasonable vacation time when needed. Employee will not receive compensation upon termination or credit in future calendar years for any unused vacation time.</w:t>
      </w:r>
    </w:p>
    <w:p>
      <w:pPr>
        <w:spacing w:after="0" w:line="170" w:lineRule="exact"/>
        <w:rPr>
          <w:rFonts w:ascii="Arial" w:cs="Arial" w:eastAsia="Arial" w:hAnsi="Arial"/>
          <w:sz w:val="17"/>
          <w:szCs w:val="17"/>
          <w:color w:val="auto"/>
        </w:rPr>
      </w:pPr>
    </w:p>
    <w:p>
      <w:pPr>
        <w:jc w:val="both"/>
        <w:ind w:left="2100" w:right="779" w:firstLine="8"/>
        <w:spacing w:after="0" w:line="243" w:lineRule="auto"/>
        <w:tabs>
          <w:tab w:leader="none" w:pos="2629"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FRINGE BENEFITS. Employee shall be eligible to participate, on the same terms and conditions as all other employees of the Company, in all reasonable and customary fringe benefit plans made available to the employees of the Company and its Affiliated Companies, including but not limited to, Group Health Insurance (medical, vision and dental) and Long and Short Term Disability Insurance.</w:t>
      </w:r>
    </w:p>
    <w:p>
      <w:pPr>
        <w:spacing w:after="0" w:line="167" w:lineRule="exact"/>
        <w:rPr>
          <w:rFonts w:ascii="Arial" w:cs="Arial" w:eastAsia="Arial" w:hAnsi="Arial"/>
          <w:sz w:val="16"/>
          <w:szCs w:val="16"/>
          <w:color w:val="auto"/>
        </w:rPr>
      </w:pPr>
    </w:p>
    <w:p>
      <w:pPr>
        <w:jc w:val="both"/>
        <w:ind w:left="2100" w:right="719" w:firstLine="8"/>
        <w:spacing w:after="0" w:line="227" w:lineRule="auto"/>
        <w:tabs>
          <w:tab w:leader="none" w:pos="2629" w:val="left"/>
        </w:tabs>
        <w:numPr>
          <w:ilvl w:val="0"/>
          <w:numId w:val="28"/>
        </w:numPr>
        <w:rPr>
          <w:rFonts w:ascii="Arial" w:cs="Arial" w:eastAsia="Arial" w:hAnsi="Arial"/>
          <w:sz w:val="17"/>
          <w:szCs w:val="17"/>
          <w:color w:val="auto"/>
        </w:rPr>
      </w:pPr>
      <w:r>
        <w:rPr>
          <w:rFonts w:ascii="Arial" w:cs="Arial" w:eastAsia="Arial" w:hAnsi="Arial"/>
          <w:sz w:val="17"/>
          <w:szCs w:val="17"/>
          <w:color w:val="auto"/>
        </w:rPr>
        <w:t>MOBILE COMMUNICATIONS. The Company at its expense shall provide Employee with iPhones and iPads and data plan for his use in connection with the Company’s business with a provider acceptable to the Company. Employee shall use and maintain such devises in a reasonable manner. The Company shall pay for the purchase of such initial devices for Employee’s use and a replacement when such devices are eligible for full replacement under Employee’s data plan.</w:t>
      </w:r>
    </w:p>
    <w:p>
      <w:pPr>
        <w:spacing w:after="0" w:line="181" w:lineRule="exact"/>
        <w:rPr>
          <w:rFonts w:ascii="Arial" w:cs="Arial" w:eastAsia="Arial" w:hAnsi="Arial"/>
          <w:sz w:val="17"/>
          <w:szCs w:val="17"/>
          <w:color w:val="auto"/>
        </w:rPr>
      </w:pPr>
    </w:p>
    <w:p>
      <w:pPr>
        <w:ind w:left="2100" w:right="639" w:firstLine="8"/>
        <w:spacing w:after="0" w:line="244" w:lineRule="auto"/>
        <w:tabs>
          <w:tab w:leader="none" w:pos="2568" w:val="left"/>
        </w:tabs>
        <w:numPr>
          <w:ilvl w:val="0"/>
          <w:numId w:val="28"/>
        </w:numPr>
        <w:rPr>
          <w:rFonts w:ascii="Arial" w:cs="Arial" w:eastAsia="Arial" w:hAnsi="Arial"/>
          <w:sz w:val="16"/>
          <w:szCs w:val="16"/>
          <w:color w:val="auto"/>
        </w:rPr>
      </w:pPr>
      <w:r>
        <w:rPr>
          <w:rFonts w:ascii="Arial" w:cs="Arial" w:eastAsia="Arial" w:hAnsi="Arial"/>
          <w:sz w:val="16"/>
          <w:szCs w:val="16"/>
          <w:color w:val="auto"/>
        </w:rPr>
        <w:t>AUTOMOBILE ALLOWANCE. The Company shall provide Employee with an automobile allowance of $600 per month, prorated for partial months worked, which shall be in lieu of any expense reimbursement for automobile or automobile-related expenditures (other than expenditures for car service or other transportation costs associated with Employee's business travel, which shall be reimbursed in accordance with the terms of Section 2.4, below) or use of a Company owned or leased vehicle.</w:t>
      </w:r>
    </w:p>
    <w:p>
      <w:pPr>
        <w:spacing w:after="0" w:line="158" w:lineRule="exact"/>
        <w:rPr>
          <w:sz w:val="20"/>
          <w:szCs w:val="20"/>
          <w:color w:val="auto"/>
        </w:rPr>
      </w:pPr>
    </w:p>
    <w:p>
      <w:pPr>
        <w:jc w:val="both"/>
        <w:ind w:left="1600" w:right="759"/>
        <w:spacing w:after="0" w:line="258" w:lineRule="auto"/>
        <w:rPr>
          <w:sz w:val="20"/>
          <w:szCs w:val="20"/>
          <w:color w:val="auto"/>
        </w:rPr>
      </w:pPr>
      <w:r>
        <w:rPr>
          <w:rFonts w:ascii="Arial" w:cs="Arial" w:eastAsia="Arial" w:hAnsi="Arial"/>
          <w:sz w:val="15"/>
          <w:szCs w:val="15"/>
          <w:color w:val="auto"/>
        </w:rPr>
        <w:t>2.4 REIMBURSEMENT OF EXPENSES. The Company shall reimburse Employee for business expenses incurred by Employee in the performance of his duties, provided that such expenses are authorized under the Company’s Expense Reimbursement policy, in reasonable</w:t>
      </w:r>
    </w:p>
    <w:p>
      <w:pPr>
        <w:spacing w:after="0" w:line="2" w:lineRule="exact"/>
        <w:rPr>
          <w:sz w:val="20"/>
          <w:szCs w:val="20"/>
          <w:color w:val="auto"/>
        </w:rPr>
      </w:pPr>
    </w:p>
    <w:p>
      <w:pPr>
        <w:ind w:left="1600" w:right="699"/>
        <w:spacing w:after="0" w:line="244" w:lineRule="auto"/>
        <w:rPr>
          <w:sz w:val="20"/>
          <w:szCs w:val="20"/>
          <w:color w:val="auto"/>
        </w:rPr>
      </w:pPr>
      <w:r>
        <w:rPr>
          <w:rFonts w:ascii="Arial" w:cs="Arial" w:eastAsia="Arial" w:hAnsi="Arial"/>
          <w:sz w:val="15"/>
          <w:szCs w:val="15"/>
          <w:color w:val="auto"/>
        </w:rPr>
        <w:t>amounts, incurred for ordinary and necessary Company-related business expenses and are supported by itemized accountings and expense receipts that are timely submitted to the Company</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prior to any reimbursement.</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406" w:right="1440" w:bottom="1440" w:gutter="0" w:footer="0" w:header="0"/>
        </w:sectPr>
      </w:pPr>
    </w:p>
    <w:bookmarkStart w:id="66" w:name="page67"/>
    <w:bookmarkEnd w:id="66"/>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67" w:lineRule="exact"/>
        <w:rPr>
          <w:sz w:val="20"/>
          <w:szCs w:val="20"/>
          <w:color w:val="auto"/>
        </w:rPr>
      </w:pPr>
    </w:p>
    <w:p>
      <w:pPr>
        <w:ind w:left="1600" w:right="739"/>
        <w:spacing w:after="0" w:line="238" w:lineRule="auto"/>
        <w:rPr>
          <w:sz w:val="20"/>
          <w:szCs w:val="20"/>
          <w:color w:val="auto"/>
        </w:rPr>
      </w:pPr>
      <w:r>
        <w:rPr>
          <w:rFonts w:ascii="Arial" w:cs="Arial" w:eastAsia="Arial" w:hAnsi="Arial"/>
          <w:sz w:val="16"/>
          <w:szCs w:val="16"/>
          <w:color w:val="auto"/>
        </w:rPr>
        <w:t>2.5 EQUITY INCENTIVE PLAN. As an active key employee in Company and its affiliates, Employee shall have the right to participate in the current CrossFirst Bankshares, Inc. 2018</w:t>
      </w:r>
    </w:p>
    <w:p>
      <w:pPr>
        <w:spacing w:after="0" w:line="1" w:lineRule="exact"/>
        <w:rPr>
          <w:sz w:val="20"/>
          <w:szCs w:val="20"/>
          <w:color w:val="auto"/>
        </w:rPr>
      </w:pPr>
    </w:p>
    <w:p>
      <w:pPr>
        <w:ind w:left="1600" w:right="679"/>
        <w:spacing w:after="0" w:line="252" w:lineRule="auto"/>
        <w:rPr>
          <w:sz w:val="20"/>
          <w:szCs w:val="20"/>
          <w:color w:val="auto"/>
        </w:rPr>
      </w:pPr>
      <w:r>
        <w:rPr>
          <w:rFonts w:ascii="Arial" w:cs="Arial" w:eastAsia="Arial" w:hAnsi="Arial"/>
          <w:sz w:val="15"/>
          <w:szCs w:val="15"/>
          <w:color w:val="auto"/>
        </w:rPr>
        <w:t>Omnibus Equity Incentive Plan, (the “Equity Incentive Plan”) for certain eligible key employees, a copy of which has been provided by Employer. As a part of Employee’s compensation under this Agreement, Employee shall have the right to participate in the Equity Incentive Plan as determined by the Committee, subject to vesting and other rights described in the Equity Incentive Plan or approved by the Compensation Committee. Employee’s rights in any equity may change in</w:t>
      </w:r>
    </w:p>
    <w:p>
      <w:pPr>
        <w:spacing w:after="0" w:line="1" w:lineRule="exact"/>
        <w:rPr>
          <w:sz w:val="20"/>
          <w:szCs w:val="20"/>
          <w:color w:val="auto"/>
        </w:rPr>
      </w:pPr>
    </w:p>
    <w:p>
      <w:pPr>
        <w:ind w:left="1600" w:right="719"/>
        <w:spacing w:after="0" w:line="229" w:lineRule="auto"/>
        <w:rPr>
          <w:sz w:val="20"/>
          <w:szCs w:val="20"/>
          <w:color w:val="auto"/>
        </w:rPr>
      </w:pPr>
      <w:r>
        <w:rPr>
          <w:rFonts w:ascii="Arial" w:cs="Arial" w:eastAsia="Arial" w:hAnsi="Arial"/>
          <w:sz w:val="16"/>
          <w:szCs w:val="16"/>
          <w:color w:val="auto"/>
        </w:rPr>
        <w:t>accordance with the provisions of the Equity Incentive Plan. The Committee reserves the right, in its sole discretion and at any time, to change the type of equity incentive awards granted to</w:t>
      </w:r>
    </w:p>
    <w:p>
      <w:pPr>
        <w:spacing w:after="0" w:line="1" w:lineRule="exact"/>
        <w:rPr>
          <w:sz w:val="20"/>
          <w:szCs w:val="20"/>
          <w:color w:val="auto"/>
        </w:rPr>
      </w:pPr>
    </w:p>
    <w:p>
      <w:pPr>
        <w:ind w:left="1600" w:right="679"/>
        <w:spacing w:after="0" w:line="254" w:lineRule="auto"/>
        <w:rPr>
          <w:sz w:val="20"/>
          <w:szCs w:val="20"/>
          <w:color w:val="auto"/>
        </w:rPr>
      </w:pPr>
      <w:r>
        <w:rPr>
          <w:rFonts w:ascii="Arial" w:cs="Arial" w:eastAsia="Arial" w:hAnsi="Arial"/>
          <w:sz w:val="15"/>
          <w:szCs w:val="15"/>
          <w:color w:val="auto"/>
        </w:rPr>
        <w:t>Employee, provided that the Committee shall only grant to Employee awards which may be granted under the terms of the Equity Incentive Plan</w:t>
      </w:r>
      <w:r>
        <w:rPr>
          <w:rFonts w:ascii="Arial" w:cs="Arial" w:eastAsia="Arial" w:hAnsi="Arial"/>
          <w:sz w:val="12"/>
          <w:szCs w:val="12"/>
          <w:color w:val="auto"/>
        </w:rPr>
        <w:t>For</w:t>
      </w:r>
      <w:r>
        <w:rPr>
          <w:rFonts w:ascii="Arial" w:cs="Arial" w:eastAsia="Arial" w:hAnsi="Arial"/>
          <w:sz w:val="15"/>
          <w:szCs w:val="15"/>
          <w:color w:val="auto"/>
        </w:rPr>
        <w:t xml:space="preserve">. </w:t>
      </w:r>
      <w:r>
        <w:rPr>
          <w:rFonts w:ascii="Arial" w:cs="Arial" w:eastAsia="Arial" w:hAnsi="Arial"/>
          <w:sz w:val="12"/>
          <w:szCs w:val="12"/>
          <w:color w:val="auto"/>
        </w:rPr>
        <w:t>2021, Employee will receive a grant of 5,000 time-</w:t>
      </w:r>
    </w:p>
    <w:p>
      <w:pPr>
        <w:spacing w:after="0" w:line="1" w:lineRule="exact"/>
        <w:rPr>
          <w:sz w:val="20"/>
          <w:szCs w:val="20"/>
          <w:color w:val="auto"/>
        </w:rPr>
      </w:pPr>
    </w:p>
    <w:p>
      <w:pPr>
        <w:ind w:left="1600" w:right="1239"/>
        <w:spacing w:after="0" w:line="284" w:lineRule="auto"/>
        <w:rPr>
          <w:sz w:val="20"/>
          <w:szCs w:val="20"/>
          <w:color w:val="auto"/>
        </w:rPr>
      </w:pPr>
      <w:r>
        <w:rPr>
          <w:rFonts w:ascii="Arial" w:cs="Arial" w:eastAsia="Arial" w:hAnsi="Arial"/>
          <w:sz w:val="12"/>
          <w:szCs w:val="12"/>
          <w:color w:val="auto"/>
        </w:rPr>
        <w:t>based restricted stock units that vest in one third increments over the next three years and 25,000 stock settled appreciation rights that will vest on each anniversary of the date of grant in installments over a seven-year</w:t>
      </w:r>
    </w:p>
    <w:p>
      <w:pPr>
        <w:ind w:left="1600" w:right="699"/>
        <w:spacing w:after="0" w:line="231" w:lineRule="auto"/>
        <w:rPr>
          <w:sz w:val="20"/>
          <w:szCs w:val="20"/>
          <w:color w:val="auto"/>
        </w:rPr>
      </w:pPr>
      <w:r>
        <w:rPr>
          <w:rFonts w:ascii="Arial" w:cs="Arial" w:eastAsia="Arial" w:hAnsi="Arial"/>
          <w:sz w:val="14"/>
          <w:szCs w:val="14"/>
          <w:color w:val="auto"/>
        </w:rPr>
        <w:t xml:space="preserve">period in equal tranches at the Company’s July 2021 Compensation Committee meeting. </w:t>
      </w:r>
      <w:r>
        <w:rPr>
          <w:rFonts w:ascii="Arial" w:cs="Arial" w:eastAsia="Arial" w:hAnsi="Arial"/>
          <w:sz w:val="17"/>
          <w:szCs w:val="17"/>
          <w:color w:val="auto"/>
        </w:rPr>
        <w:t>You will be</w:t>
      </w:r>
      <w:r>
        <w:rPr>
          <w:rFonts w:ascii="Arial" w:cs="Arial" w:eastAsia="Arial" w:hAnsi="Arial"/>
          <w:sz w:val="14"/>
          <w:szCs w:val="14"/>
          <w:color w:val="auto"/>
        </w:rPr>
        <w:t xml:space="preserve"> </w:t>
      </w:r>
      <w:r>
        <w:rPr>
          <w:rFonts w:ascii="Arial" w:cs="Arial" w:eastAsia="Arial" w:hAnsi="Arial"/>
          <w:sz w:val="17"/>
          <w:szCs w:val="17"/>
          <w:color w:val="auto"/>
        </w:rPr>
        <w:t>eligible for additional awards under the Equity Incentive Plan in 2022 with a target opportunity of 40% of your Base Salary</w:t>
      </w:r>
    </w:p>
    <w:p>
      <w:pPr>
        <w:spacing w:after="0" w:line="158" w:lineRule="exact"/>
        <w:rPr>
          <w:sz w:val="20"/>
          <w:szCs w:val="20"/>
          <w:color w:val="auto"/>
        </w:rPr>
      </w:pPr>
    </w:p>
    <w:p>
      <w:pPr>
        <w:ind w:left="1600" w:hanging="389"/>
        <w:spacing w:after="0"/>
        <w:tabs>
          <w:tab w:leader="none" w:pos="1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TERMINATION .</w:t>
      </w:r>
    </w:p>
    <w:p>
      <w:pPr>
        <w:spacing w:after="0" w:line="188" w:lineRule="exact"/>
        <w:rPr>
          <w:rFonts w:ascii="Arial" w:cs="Arial" w:eastAsia="Arial" w:hAnsi="Arial"/>
          <w:sz w:val="17"/>
          <w:szCs w:val="17"/>
          <w:color w:val="auto"/>
        </w:rPr>
      </w:pPr>
    </w:p>
    <w:p>
      <w:pPr>
        <w:ind w:left="1600"/>
        <w:spacing w:after="0"/>
        <w:rPr>
          <w:rFonts w:ascii="Arial" w:cs="Arial" w:eastAsia="Arial" w:hAnsi="Arial"/>
          <w:sz w:val="17"/>
          <w:szCs w:val="17"/>
          <w:color w:val="auto"/>
        </w:rPr>
      </w:pPr>
      <w:r>
        <w:rPr>
          <w:rFonts w:ascii="Arial" w:cs="Arial" w:eastAsia="Arial" w:hAnsi="Arial"/>
          <w:sz w:val="17"/>
          <w:szCs w:val="17"/>
          <w:color w:val="auto"/>
        </w:rPr>
        <w:t>3.1.   DEFINTIONS. For purposes of this Agreement, the term:</w:t>
      </w:r>
    </w:p>
    <w:p>
      <w:pPr>
        <w:spacing w:after="0" w:line="188" w:lineRule="exact"/>
        <w:rPr>
          <w:rFonts w:ascii="Arial" w:cs="Arial" w:eastAsia="Arial" w:hAnsi="Arial"/>
          <w:sz w:val="17"/>
          <w:szCs w:val="17"/>
          <w:color w:val="auto"/>
        </w:rPr>
      </w:pPr>
    </w:p>
    <w:p>
      <w:pPr>
        <w:ind w:left="2360" w:right="719" w:hanging="252"/>
        <w:spacing w:after="0" w:line="248" w:lineRule="auto"/>
        <w:tabs>
          <w:tab w:leader="none" w:pos="23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“DATE OF TERMINATION” or "TERMINATION DATE" shall mean the date specified in a Notice of Termination (as defined below).</w:t>
      </w:r>
    </w:p>
    <w:p>
      <w:pPr>
        <w:spacing w:after="0" w:line="140" w:lineRule="exact"/>
        <w:rPr>
          <w:rFonts w:ascii="Arial" w:cs="Arial" w:eastAsia="Arial" w:hAnsi="Arial"/>
          <w:sz w:val="17"/>
          <w:szCs w:val="17"/>
          <w:color w:val="auto"/>
        </w:rPr>
      </w:pPr>
    </w:p>
    <w:p>
      <w:pPr>
        <w:ind w:left="2360" w:right="639" w:hanging="252"/>
        <w:spacing w:after="0" w:line="241" w:lineRule="auto"/>
        <w:tabs>
          <w:tab w:leader="none" w:pos="23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"NOTICE OF TERMINATION" shall mean a written notice, which includes the effective Date of Termination and (i) if delivered by the Company in connection with the Company's decision to terminate Employee's employment with the Company, sets forth in reasonable detail the reason for termination of Employee's employment, or (ii) if delivered by Employee in connection with a Constructive Termination (as such term is defined in the Severance Plan (as defined in Section 3.1(c) below)), specifies in reasonable detail the basis for such resignation.</w:t>
      </w:r>
    </w:p>
    <w:p>
      <w:pPr>
        <w:spacing w:after="0" w:line="147" w:lineRule="exact"/>
        <w:rPr>
          <w:rFonts w:ascii="Arial" w:cs="Arial" w:eastAsia="Arial" w:hAnsi="Arial"/>
          <w:sz w:val="16"/>
          <w:szCs w:val="16"/>
          <w:color w:val="auto"/>
        </w:rPr>
      </w:pPr>
    </w:p>
    <w:p>
      <w:pPr>
        <w:ind w:left="2360" w:right="699" w:hanging="252"/>
        <w:spacing w:after="0" w:line="237" w:lineRule="auto"/>
        <w:tabs>
          <w:tab w:leader="none" w:pos="23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"SEVERANCE PLAN" shall mean the CrossFirst Bankshares, Inc. Senior Executive Severance Plan.</w:t>
      </w:r>
    </w:p>
    <w:p>
      <w:pPr>
        <w:spacing w:after="0" w:line="137" w:lineRule="exact"/>
        <w:rPr>
          <w:sz w:val="20"/>
          <w:szCs w:val="20"/>
          <w:color w:val="auto"/>
        </w:rPr>
      </w:pPr>
    </w:p>
    <w:p>
      <w:pPr>
        <w:jc w:val="both"/>
        <w:ind w:left="2100" w:right="659" w:hanging="511"/>
        <w:spacing w:after="0" w:line="250" w:lineRule="auto"/>
        <w:tabs>
          <w:tab w:leader="none" w:pos="20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color w:val="auto"/>
        </w:rPr>
        <w:t>TERMINATION BY EMPLOYEE OR COMPANY DUE TO DEATH OR DISABILITY. If the Company terminates Employee during the term of this Agreement due to death or Disability or Employee terminates this Agreement due to Disability then following such termination the Company shall pay to Employee or Employee’s legal representative:</w:t>
      </w:r>
    </w:p>
    <w:p>
      <w:pPr>
        <w:spacing w:after="0" w:line="130" w:lineRule="exact"/>
        <w:rPr>
          <w:sz w:val="20"/>
          <w:szCs w:val="20"/>
          <w:color w:val="auto"/>
        </w:rPr>
      </w:pPr>
    </w:p>
    <w:p>
      <w:pPr>
        <w:ind w:left="2360" w:right="659" w:hanging="252"/>
        <w:spacing w:after="0" w:line="248" w:lineRule="auto"/>
        <w:tabs>
          <w:tab w:leader="none" w:pos="239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ACCRUED OBLIGATION. A lump sum cash payment equal to Employee’s accrued, earned but unpaid compensation and bonuses for the period ending on the Date of Termination, provided, that such payment shall not include any potential or unearned bonuses or any other potential or unearned or benefits ("Accrued Obligations") shall be made on the sixtieth (60</w:t>
      </w:r>
      <w:r>
        <w:rPr>
          <w:rFonts w:ascii="Arial" w:cs="Arial" w:eastAsia="Arial" w:hAnsi="Arial"/>
          <w:sz w:val="18"/>
          <w:szCs w:val="18"/>
          <w:color w:val="auto"/>
          <w:vertAlign w:val="superscript"/>
        </w:rPr>
        <w:t>th</w:t>
      </w:r>
      <w:r>
        <w:rPr>
          <w:rFonts w:ascii="Arial" w:cs="Arial" w:eastAsia="Arial" w:hAnsi="Arial"/>
          <w:sz w:val="16"/>
          <w:szCs w:val="16"/>
          <w:color w:val="auto"/>
        </w:rPr>
        <w:t>) day following the Employee’s Date of Termination; and</w:t>
      </w:r>
    </w:p>
    <w:p>
      <w:pPr>
        <w:spacing w:after="0" w:line="92" w:lineRule="exact"/>
        <w:rPr>
          <w:rFonts w:ascii="Arial" w:cs="Arial" w:eastAsia="Arial" w:hAnsi="Arial"/>
          <w:sz w:val="16"/>
          <w:szCs w:val="16"/>
          <w:color w:val="auto"/>
        </w:rPr>
      </w:pPr>
    </w:p>
    <w:p>
      <w:pPr>
        <w:ind w:left="2360" w:right="639" w:hanging="252"/>
        <w:spacing w:after="0"/>
        <w:tabs>
          <w:tab w:leader="none" w:pos="2377"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COBRA PAYMENT. A lump sum cash payment equal to twelve (12) times the Company-paid portion of the monthly COBRA continuation premium for Employee and his eligible dependents, if any, for COBRA continuation coverage under the Company's health, vision and dental plans in effect as of Employee's Date of Termination due to Disability or death. Such amount will include the Company paid portion of the cost of the premiums for coverage of Employee's dependents if, and only to the extent that, such dependents were enrolled in a health, vision or dental plan sponsored by the Company before the Date of Termination.</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406" w:right="1440" w:bottom="1440" w:gutter="0" w:footer="0" w:header="0"/>
        </w:sectPr>
      </w:pPr>
    </w:p>
    <w:bookmarkStart w:id="67" w:name="page68"/>
    <w:bookmarkEnd w:id="67"/>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67"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For purposes of this Agreement, "Disability" shall have the meaning ascribed in the Severance Plan</w:t>
      </w:r>
    </w:p>
    <w:p>
      <w:pPr>
        <w:spacing w:after="0" w:line="169" w:lineRule="exact"/>
        <w:rPr>
          <w:sz w:val="20"/>
          <w:szCs w:val="20"/>
          <w:color w:val="auto"/>
        </w:rPr>
      </w:pPr>
    </w:p>
    <w:p>
      <w:pPr>
        <w:ind w:left="1600" w:right="619"/>
        <w:spacing w:after="0" w:line="236" w:lineRule="auto"/>
        <w:rPr>
          <w:sz w:val="20"/>
          <w:szCs w:val="20"/>
          <w:color w:val="auto"/>
        </w:rPr>
      </w:pPr>
      <w:r>
        <w:rPr>
          <w:rFonts w:ascii="Arial" w:cs="Arial" w:eastAsia="Arial" w:hAnsi="Arial"/>
          <w:sz w:val="17"/>
          <w:szCs w:val="17"/>
          <w:color w:val="auto"/>
        </w:rPr>
        <w:t>3.3 OTHER TERMINATIONS. In the case of a termination for any reason other than Employee's death or Disability, Employee shall only be entitled to those severance benefits, if any, provided for under the Severance Plan ("Severance Payments").</w:t>
      </w:r>
    </w:p>
    <w:p>
      <w:pPr>
        <w:spacing w:after="0" w:line="138" w:lineRule="exact"/>
        <w:rPr>
          <w:sz w:val="20"/>
          <w:szCs w:val="20"/>
          <w:color w:val="auto"/>
        </w:rPr>
      </w:pPr>
    </w:p>
    <w:p>
      <w:pPr>
        <w:ind w:left="1600" w:right="639"/>
        <w:spacing w:after="0" w:line="248" w:lineRule="auto"/>
        <w:rPr>
          <w:sz w:val="20"/>
          <w:szCs w:val="20"/>
          <w:color w:val="auto"/>
        </w:rPr>
      </w:pPr>
      <w:r>
        <w:rPr>
          <w:rFonts w:ascii="Arial" w:cs="Arial" w:eastAsia="Arial" w:hAnsi="Arial"/>
          <w:sz w:val="17"/>
          <w:szCs w:val="17"/>
          <w:color w:val="auto"/>
        </w:rPr>
        <w:t>3.4 CONDITIONAL NATURE OF SEVERANCE PAYMENTS. Notwithstanding any other provision of this Section 3 or any other provision of this Agreement to the contrary:</w:t>
      </w:r>
    </w:p>
    <w:p>
      <w:pPr>
        <w:spacing w:after="0" w:line="129" w:lineRule="exact"/>
        <w:rPr>
          <w:sz w:val="20"/>
          <w:szCs w:val="20"/>
          <w:color w:val="auto"/>
        </w:rPr>
      </w:pPr>
    </w:p>
    <w:p>
      <w:pPr>
        <w:ind w:left="2100" w:right="619" w:firstLine="8"/>
        <w:spacing w:after="0" w:line="237" w:lineRule="auto"/>
        <w:tabs>
          <w:tab w:leader="none" w:pos="2408"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NONSOLICITATION. Employee understands and agrees that because of his employment with the Company that he will acquire or have access to certain information of a confidential and secret nature derived from the operations of the Company’s and its Affiliated Companies’ business. Employee further understands and agrees that all correspondence, customer and investor lists and information, loan pricing techniques, underwriting methods, systems and products of the Company are confidential and trade secrets (“Confidential Information”) and the disclosure or unauthorized use of such information would be detrimental to the Company. Employee understands and agrees that the nature of the Company's business is such that if Employee were to directly solicit, interfere with, or attempt to interfere with any of the Company’s customer relationships or to directly or indirectly solicit, interfere with, or attempt to interfere with any of the Company’s other employees’ relationships that existed at Employee’s Termination Date and during the one (1) year period following the termination of Employee's employment with the Company, then it would be injurious to the Company. Therefore in consideration of the Employee and the Company complying with the terms of his employment, and subject to the condition precedent of the Company timely providing Employee the payments called for hereu nder, Employee agrees:</w:t>
      </w:r>
    </w:p>
    <w:p>
      <w:pPr>
        <w:spacing w:after="0" w:line="144" w:lineRule="exact"/>
        <w:rPr>
          <w:rFonts w:ascii="Arial" w:cs="Arial" w:eastAsia="Arial" w:hAnsi="Arial"/>
          <w:sz w:val="16"/>
          <w:szCs w:val="16"/>
          <w:color w:val="auto"/>
        </w:rPr>
      </w:pPr>
    </w:p>
    <w:p>
      <w:pPr>
        <w:ind w:left="2620" w:right="719"/>
        <w:spacing w:after="0" w:line="228" w:lineRule="auto"/>
        <w:tabs>
          <w:tab w:leader="none" w:pos="3146"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that, without the prior written consent of the Company, he will not directly or indirectly solicit interfere with or attempt to interfere with any of the Company’s customer relationships or other employee relationships that existed at Employee’s Termination Date and during the one (1) year period of time thereafter;</w:t>
      </w:r>
    </w:p>
    <w:p>
      <w:pPr>
        <w:spacing w:after="0" w:line="138" w:lineRule="exact"/>
        <w:rPr>
          <w:rFonts w:ascii="Arial" w:cs="Arial" w:eastAsia="Arial" w:hAnsi="Arial"/>
          <w:sz w:val="17"/>
          <w:szCs w:val="17"/>
          <w:color w:val="auto"/>
        </w:rPr>
      </w:pPr>
    </w:p>
    <w:p>
      <w:pPr>
        <w:ind w:left="3140" w:hanging="520"/>
        <w:spacing w:after="0"/>
        <w:tabs>
          <w:tab w:leader="none" w:pos="31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to  assist  in the  avoidance  of the  unauthorized  disclosure  of the</w:t>
      </w:r>
    </w:p>
    <w:p>
      <w:pPr>
        <w:ind w:left="2620"/>
        <w:spacing w:after="0" w:line="236" w:lineRule="auto"/>
        <w:rPr>
          <w:sz w:val="20"/>
          <w:szCs w:val="20"/>
          <w:color w:val="auto"/>
        </w:rPr>
      </w:pPr>
      <w:r>
        <w:rPr>
          <w:rFonts w:ascii="Arial" w:cs="Arial" w:eastAsia="Arial" w:hAnsi="Arial"/>
          <w:sz w:val="16"/>
          <w:szCs w:val="16"/>
          <w:color w:val="auto"/>
        </w:rPr>
        <w:t>Company's Confidential Information, in addition to other remedies available to the</w:t>
      </w:r>
    </w:p>
    <w:p>
      <w:pPr>
        <w:jc w:val="both"/>
        <w:ind w:left="2620" w:right="659"/>
        <w:spacing w:after="0" w:line="244" w:lineRule="auto"/>
        <w:rPr>
          <w:sz w:val="20"/>
          <w:szCs w:val="20"/>
          <w:color w:val="auto"/>
        </w:rPr>
      </w:pPr>
      <w:r>
        <w:rPr>
          <w:rFonts w:ascii="Arial" w:cs="Arial" w:eastAsia="Arial" w:hAnsi="Arial"/>
          <w:sz w:val="15"/>
          <w:szCs w:val="15"/>
          <w:color w:val="auto"/>
        </w:rPr>
        <w:t>Company and its Affiliated Companies, Employee will not, and understands and agrees that his right to receive the severance consideration described in Sections 3.2</w:t>
      </w:r>
    </w:p>
    <w:p>
      <w:pPr>
        <w:spacing w:after="0" w:line="1" w:lineRule="exact"/>
        <w:rPr>
          <w:sz w:val="20"/>
          <w:szCs w:val="20"/>
          <w:color w:val="auto"/>
        </w:rPr>
      </w:pPr>
    </w:p>
    <w:p>
      <w:pPr>
        <w:jc w:val="both"/>
        <w:ind w:left="2620" w:right="679"/>
        <w:spacing w:after="0" w:line="252" w:lineRule="auto"/>
        <w:rPr>
          <w:sz w:val="20"/>
          <w:szCs w:val="20"/>
          <w:color w:val="auto"/>
        </w:rPr>
      </w:pPr>
      <w:r>
        <w:rPr>
          <w:rFonts w:ascii="Arial" w:cs="Arial" w:eastAsia="Arial" w:hAnsi="Arial"/>
          <w:sz w:val="15"/>
          <w:szCs w:val="15"/>
          <w:color w:val="auto"/>
        </w:rPr>
        <w:t>and 3.3 above (to the extent Employee is otherwise entitled to such payments thereunder) shall be conditioned upon Employee not: i) directly or indirectly engaging in (whether as an employee, consultant, agent, proprietor, principal, partner, stockholder, corporate officer, director or otherwise); or ii) acquiring any ownership interest in or participating in the financing, operation, management or control of, any person, firm, corporation or business that directly or indirectly solicits,</w:t>
      </w:r>
    </w:p>
    <w:p>
      <w:pPr>
        <w:spacing w:after="0" w:line="2" w:lineRule="exact"/>
        <w:rPr>
          <w:sz w:val="20"/>
          <w:szCs w:val="20"/>
          <w:color w:val="auto"/>
        </w:rPr>
      </w:pPr>
    </w:p>
    <w:p>
      <w:pPr>
        <w:jc w:val="both"/>
        <w:ind w:left="2620" w:right="699"/>
        <w:spacing w:after="0" w:line="244" w:lineRule="auto"/>
        <w:rPr>
          <w:sz w:val="20"/>
          <w:szCs w:val="20"/>
          <w:color w:val="auto"/>
        </w:rPr>
      </w:pPr>
      <w:r>
        <w:rPr>
          <w:rFonts w:ascii="Arial" w:cs="Arial" w:eastAsia="Arial" w:hAnsi="Arial"/>
          <w:sz w:val="15"/>
          <w:szCs w:val="15"/>
          <w:color w:val="auto"/>
        </w:rPr>
        <w:t>interferes with or attempts to interfere with any of the Company’s customer relationships or other employee relationships that existed at Employee’s Termination</w:t>
      </w:r>
    </w:p>
    <w:p>
      <w:pPr>
        <w:spacing w:after="0" w:line="1" w:lineRule="exact"/>
        <w:rPr>
          <w:sz w:val="20"/>
          <w:szCs w:val="20"/>
          <w:color w:val="auto"/>
        </w:rPr>
      </w:pPr>
    </w:p>
    <w:p>
      <w:pPr>
        <w:jc w:val="both"/>
        <w:ind w:left="2620" w:right="699"/>
        <w:spacing w:after="0" w:line="252" w:lineRule="auto"/>
        <w:rPr>
          <w:sz w:val="20"/>
          <w:szCs w:val="20"/>
          <w:color w:val="auto"/>
        </w:rPr>
      </w:pPr>
      <w:r>
        <w:rPr>
          <w:rFonts w:ascii="Arial" w:cs="Arial" w:eastAsia="Arial" w:hAnsi="Arial"/>
          <w:sz w:val="15"/>
          <w:szCs w:val="15"/>
          <w:color w:val="auto"/>
        </w:rPr>
        <w:t>Date in any Metropolitan Statistical Area as defined from time to time by the U.S. Office of Management and Budget, Bureau of Labor Statistics, in which the Company or its successor owns controlling voting interest in any banking or other financial institution as such banking or other financial institutions are controlled by the Company or its Affiliated Companies upon Employee’s Termination Date. The</w:t>
      </w:r>
    </w:p>
    <w:p>
      <w:pPr>
        <w:spacing w:after="0" w:line="1" w:lineRule="exact"/>
        <w:rPr>
          <w:sz w:val="20"/>
          <w:szCs w:val="20"/>
          <w:color w:val="auto"/>
        </w:rPr>
      </w:pPr>
    </w:p>
    <w:p>
      <w:pPr>
        <w:jc w:val="both"/>
        <w:ind w:left="2620" w:right="679"/>
        <w:spacing w:after="0" w:line="244" w:lineRule="auto"/>
        <w:rPr>
          <w:sz w:val="20"/>
          <w:szCs w:val="20"/>
          <w:color w:val="auto"/>
        </w:rPr>
      </w:pPr>
      <w:r>
        <w:rPr>
          <w:rFonts w:ascii="Arial" w:cs="Arial" w:eastAsia="Arial" w:hAnsi="Arial"/>
          <w:sz w:val="15"/>
          <w:szCs w:val="15"/>
          <w:color w:val="auto"/>
        </w:rPr>
        <w:t>limitation upon Employee’s ownership of outstanding shares or other units of ownership shall be excluded from this Section 3.4, provided such ownership is less</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than five (5) percent in any publicly-traded bank or financial institution;</w:t>
      </w:r>
    </w:p>
    <w:p>
      <w:pPr>
        <w:spacing w:after="0" w:line="143" w:lineRule="exact"/>
        <w:rPr>
          <w:sz w:val="20"/>
          <w:szCs w:val="20"/>
          <w:color w:val="auto"/>
        </w:rPr>
      </w:pPr>
    </w:p>
    <w:p>
      <w:pPr>
        <w:ind w:left="2620" w:right="679"/>
        <w:spacing w:after="0" w:line="278" w:lineRule="auto"/>
        <w:tabs>
          <w:tab w:leader="none" w:pos="31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without the prior written consent of the Company, Employee will not solicit, directly or indirectly, actively or inactively, the employees or independent</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406" w:right="1440" w:bottom="1440" w:gutter="0" w:footer="0" w:header="0"/>
        </w:sectPr>
      </w:pPr>
    </w:p>
    <w:bookmarkStart w:id="68" w:name="page69"/>
    <w:bookmarkEnd w:id="68"/>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67" w:lineRule="exact"/>
        <w:rPr>
          <w:sz w:val="20"/>
          <w:szCs w:val="20"/>
          <w:color w:val="auto"/>
        </w:rPr>
      </w:pPr>
    </w:p>
    <w:p>
      <w:pPr>
        <w:ind w:left="2620" w:right="659"/>
        <w:spacing w:after="0" w:line="254" w:lineRule="auto"/>
        <w:rPr>
          <w:sz w:val="20"/>
          <w:szCs w:val="20"/>
          <w:color w:val="auto"/>
        </w:rPr>
      </w:pPr>
      <w:r>
        <w:rPr>
          <w:rFonts w:ascii="Arial" w:cs="Arial" w:eastAsia="Arial" w:hAnsi="Arial"/>
          <w:sz w:val="15"/>
          <w:szCs w:val="15"/>
          <w:color w:val="auto"/>
        </w:rPr>
        <w:t>contractors of the Company to become employees or independent contractors of any person, firm, corporation, business, or banking or other financial institution that</w:t>
      </w:r>
    </w:p>
    <w:p>
      <w:pPr>
        <w:spacing w:after="0" w:line="1" w:lineRule="exact"/>
        <w:rPr>
          <w:sz w:val="20"/>
          <w:szCs w:val="20"/>
          <w:color w:val="auto"/>
        </w:rPr>
      </w:pPr>
    </w:p>
    <w:p>
      <w:pPr>
        <w:ind w:left="2620" w:right="739"/>
        <w:spacing w:after="0" w:line="235" w:lineRule="auto"/>
        <w:rPr>
          <w:sz w:val="20"/>
          <w:szCs w:val="20"/>
          <w:color w:val="auto"/>
        </w:rPr>
      </w:pPr>
      <w:r>
        <w:rPr>
          <w:rFonts w:ascii="Arial" w:cs="Arial" w:eastAsia="Arial" w:hAnsi="Arial"/>
          <w:sz w:val="17"/>
          <w:szCs w:val="17"/>
          <w:color w:val="auto"/>
        </w:rPr>
        <w:t>directly or indirectly competes with the Company or solicits, interferes with, or attempts to interfere with the Company’s customers; and,</w:t>
      </w:r>
    </w:p>
    <w:p>
      <w:pPr>
        <w:spacing w:after="0" w:line="137" w:lineRule="exact"/>
        <w:rPr>
          <w:sz w:val="20"/>
          <w:szCs w:val="20"/>
          <w:color w:val="auto"/>
        </w:rPr>
      </w:pPr>
    </w:p>
    <w:p>
      <w:pPr>
        <w:ind w:left="3160" w:hanging="540"/>
        <w:spacing w:after="0"/>
        <w:tabs>
          <w:tab w:leader="none" w:pos="3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or before the Date of Termination</w:t>
      </w:r>
      <w:r>
        <w:rPr>
          <w:rFonts w:ascii="Arial" w:cs="Arial" w:eastAsia="Arial" w:hAnsi="Arial"/>
          <w:sz w:val="16"/>
          <w:szCs w:val="16"/>
          <w:color w:val="535353"/>
        </w:rPr>
        <w:t>,</w:t>
      </w:r>
      <w:r>
        <w:rPr>
          <w:rFonts w:ascii="Arial" w:cs="Arial" w:eastAsia="Arial" w:hAnsi="Arial"/>
          <w:sz w:val="16"/>
          <w:szCs w:val="16"/>
          <w:color w:val="auto"/>
        </w:rPr>
        <w:t>Employee shall return to Company,</w:t>
      </w:r>
    </w:p>
    <w:p>
      <w:pPr>
        <w:spacing w:after="0" w:line="11" w:lineRule="exact"/>
        <w:rPr>
          <w:sz w:val="20"/>
          <w:szCs w:val="20"/>
          <w:color w:val="auto"/>
        </w:rPr>
      </w:pPr>
    </w:p>
    <w:p>
      <w:pPr>
        <w:ind w:left="2620" w:right="699"/>
        <w:spacing w:after="0" w:line="252" w:lineRule="auto"/>
        <w:rPr>
          <w:sz w:val="20"/>
          <w:szCs w:val="20"/>
          <w:color w:val="auto"/>
        </w:rPr>
      </w:pPr>
      <w:r>
        <w:rPr>
          <w:rFonts w:ascii="Arial" w:cs="Arial" w:eastAsia="Arial" w:hAnsi="Arial"/>
          <w:sz w:val="15"/>
          <w:szCs w:val="15"/>
          <w:color w:val="auto"/>
        </w:rPr>
        <w:t>all records, lists, compositions, documents and other items which contain, disclose and/or embody any Confidential Information (including, without limitation, all</w:t>
      </w:r>
    </w:p>
    <w:p>
      <w:pPr>
        <w:spacing w:after="0" w:line="1" w:lineRule="exact"/>
        <w:rPr>
          <w:sz w:val="20"/>
          <w:szCs w:val="20"/>
          <w:color w:val="auto"/>
        </w:rPr>
      </w:pPr>
    </w:p>
    <w:p>
      <w:pPr>
        <w:ind w:left="2620" w:right="719"/>
        <w:spacing w:after="0" w:line="244" w:lineRule="auto"/>
        <w:rPr>
          <w:sz w:val="20"/>
          <w:szCs w:val="20"/>
          <w:color w:val="auto"/>
        </w:rPr>
      </w:pPr>
      <w:r>
        <w:rPr>
          <w:rFonts w:ascii="Arial" w:cs="Arial" w:eastAsia="Arial" w:hAnsi="Arial"/>
          <w:sz w:val="15"/>
          <w:szCs w:val="15"/>
          <w:color w:val="auto"/>
        </w:rPr>
        <w:t>copies, reproductions, summaries and notes of the contents thereof, expressly including all electronically stored data, wherever stored), regardless of the person</w:t>
      </w:r>
    </w:p>
    <w:p>
      <w:pPr>
        <w:spacing w:after="0" w:line="1" w:lineRule="exact"/>
        <w:rPr>
          <w:sz w:val="20"/>
          <w:szCs w:val="20"/>
          <w:color w:val="auto"/>
        </w:rPr>
      </w:pPr>
    </w:p>
    <w:p>
      <w:pPr>
        <w:ind w:left="2620" w:right="699"/>
        <w:spacing w:after="0" w:line="235" w:lineRule="auto"/>
        <w:rPr>
          <w:sz w:val="20"/>
          <w:szCs w:val="20"/>
          <w:color w:val="auto"/>
        </w:rPr>
      </w:pPr>
      <w:r>
        <w:rPr>
          <w:rFonts w:ascii="Arial" w:cs="Arial" w:eastAsia="Arial" w:hAnsi="Arial"/>
          <w:sz w:val="17"/>
          <w:szCs w:val="17"/>
          <w:color w:val="auto"/>
        </w:rPr>
        <w:t>causing the same to be in such form, and Employee will certify that the provisions of this paragraph have been complied with.</w:t>
      </w:r>
    </w:p>
    <w:p>
      <w:pPr>
        <w:spacing w:after="0" w:line="137" w:lineRule="exact"/>
        <w:rPr>
          <w:sz w:val="20"/>
          <w:szCs w:val="20"/>
          <w:color w:val="auto"/>
        </w:rPr>
      </w:pPr>
    </w:p>
    <w:p>
      <w:pPr>
        <w:ind w:left="2100" w:right="639"/>
        <w:spacing w:after="0" w:line="257" w:lineRule="auto"/>
        <w:rPr>
          <w:sz w:val="20"/>
          <w:szCs w:val="20"/>
          <w:color w:val="auto"/>
        </w:rPr>
      </w:pPr>
      <w:r>
        <w:rPr>
          <w:rFonts w:ascii="Arial" w:cs="Arial" w:eastAsia="Arial" w:hAnsi="Arial"/>
          <w:sz w:val="15"/>
          <w:szCs w:val="15"/>
          <w:color w:val="auto"/>
        </w:rPr>
        <w:t>If Employee violates any restriction described in Section 3.4(a), then all Severance Payments and consideration to which Employee otherwise may be entitled under Section 3.2 and 3.3 above, as applicable, thereupon shall cease and Employee shall promptly return to the Company all severance payments received and other severance benefits theretofore</w:t>
      </w:r>
    </w:p>
    <w:p>
      <w:pPr>
        <w:spacing w:after="0" w:line="1" w:lineRule="exact"/>
        <w:rPr>
          <w:sz w:val="20"/>
          <w:szCs w:val="20"/>
          <w:color w:val="auto"/>
        </w:rPr>
      </w:pPr>
    </w:p>
    <w:p>
      <w:pPr>
        <w:ind w:left="2100" w:right="619"/>
        <w:spacing w:after="0" w:line="244" w:lineRule="auto"/>
        <w:rPr>
          <w:sz w:val="20"/>
          <w:szCs w:val="20"/>
          <w:color w:val="auto"/>
        </w:rPr>
      </w:pPr>
      <w:r>
        <w:rPr>
          <w:rFonts w:ascii="Arial" w:cs="Arial" w:eastAsia="Arial" w:hAnsi="Arial"/>
          <w:sz w:val="15"/>
          <w:szCs w:val="15"/>
          <w:color w:val="auto"/>
        </w:rPr>
        <w:t>incurred by Company for Employee’s benefit. The Company agrees that nothing herein shall preclude Employee from retaining copies of his calendar, contact list or documents related</w:t>
      </w:r>
    </w:p>
    <w:p>
      <w:pPr>
        <w:spacing w:after="0" w:line="1" w:lineRule="exact"/>
        <w:rPr>
          <w:sz w:val="20"/>
          <w:szCs w:val="20"/>
          <w:color w:val="auto"/>
        </w:rPr>
      </w:pPr>
    </w:p>
    <w:p>
      <w:pPr>
        <w:jc w:val="both"/>
        <w:ind w:left="2100" w:right="679"/>
        <w:spacing w:after="0" w:line="231" w:lineRule="auto"/>
        <w:rPr>
          <w:sz w:val="20"/>
          <w:szCs w:val="20"/>
          <w:color w:val="auto"/>
        </w:rPr>
      </w:pPr>
      <w:r>
        <w:rPr>
          <w:rFonts w:ascii="Arial" w:cs="Arial" w:eastAsia="Arial" w:hAnsi="Arial"/>
          <w:sz w:val="17"/>
          <w:szCs w:val="17"/>
          <w:color w:val="auto"/>
        </w:rPr>
        <w:t>to his investment in Company or responsibilities as a director to Company, and that Employee shall be entitled to freely offer employment references to the Company’s other current or former employees.</w:t>
      </w:r>
    </w:p>
    <w:p>
      <w:pPr>
        <w:spacing w:after="0" w:line="136" w:lineRule="exact"/>
        <w:rPr>
          <w:sz w:val="20"/>
          <w:szCs w:val="20"/>
          <w:color w:val="auto"/>
        </w:rPr>
      </w:pPr>
    </w:p>
    <w:p>
      <w:pPr>
        <w:jc w:val="both"/>
        <w:ind w:left="2100" w:right="639" w:firstLine="8"/>
        <w:spacing w:after="0"/>
        <w:tabs>
          <w:tab w:leader="none" w:pos="2629"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EMPLOYMENT. In the event Employee becomes employed as an employee or consultant for a company that provides banking services similar to services provided by the Company or its Affiliated Companies in a Metropolitan Statistical Area, described in Section 3.4(a)(ii), above, Employee shall not be entitled to receive any further amount of the severance consideration described in Sections 3.2 and 3.3 above, subsequent to the date of such employment. Employee acknowledges that this limitation is fair to both Employee and the Company and does not in any way restrain employee from exercising Employees lawful profession, trade or business.</w:t>
      </w:r>
    </w:p>
    <w:p>
      <w:pPr>
        <w:spacing w:after="0" w:line="139" w:lineRule="exact"/>
        <w:rPr>
          <w:rFonts w:ascii="Arial" w:cs="Arial" w:eastAsia="Arial" w:hAnsi="Arial"/>
          <w:sz w:val="16"/>
          <w:szCs w:val="16"/>
          <w:color w:val="auto"/>
        </w:rPr>
      </w:pPr>
    </w:p>
    <w:p>
      <w:pPr>
        <w:ind w:left="2100" w:right="619" w:firstLine="8"/>
        <w:spacing w:after="0" w:line="251" w:lineRule="auto"/>
        <w:tabs>
          <w:tab w:leader="none" w:pos="2629" w:val="left"/>
        </w:tabs>
        <w:numPr>
          <w:ilvl w:val="0"/>
          <w:numId w:val="34"/>
        </w:numPr>
        <w:rPr>
          <w:rFonts w:ascii="Arial" w:cs="Arial" w:eastAsia="Arial" w:hAnsi="Arial"/>
          <w:sz w:val="15"/>
          <w:szCs w:val="15"/>
          <w:color w:val="auto"/>
        </w:rPr>
      </w:pPr>
      <w:r>
        <w:rPr>
          <w:rFonts w:ascii="Arial" w:cs="Arial" w:eastAsia="Arial" w:hAnsi="Arial"/>
          <w:sz w:val="15"/>
          <w:szCs w:val="15"/>
          <w:color w:val="auto"/>
        </w:rPr>
        <w:t>GENERAL RELEASE. Employee shall not be entitled to receive any benefits upon termination of employment described in this Section 3 (including any Severance Payments under the Severance Plan or described in Section 3.2 above) unless prior to receiving the same Employee executes a release pursuant to Section 9 of the Severance Plan, as applicable, or a general release of all known claims against the Company and its directors, officers, employees, stockholders, and other agents and their respective insurers, successors, and assigns, of all claims arising from or in any way relating to Employee's employment by the Company or the termination of that employment, provided that such release shall not extend to (i) any claims for benefits under any qualified retirement plan maintained by the Company, (ii) any claims for governmental unemployment benefits, or (iii) any claims for workers compensation benefits; (iv) Employee’s rights, if any, under the Plan, (v)</w:t>
      </w:r>
    </w:p>
    <w:p>
      <w:pPr>
        <w:spacing w:after="0" w:line="3" w:lineRule="exact"/>
        <w:rPr>
          <w:rFonts w:ascii="Arial" w:cs="Arial" w:eastAsia="Arial" w:hAnsi="Arial"/>
          <w:sz w:val="15"/>
          <w:szCs w:val="15"/>
          <w:color w:val="auto"/>
        </w:rPr>
      </w:pPr>
    </w:p>
    <w:p>
      <w:pPr>
        <w:ind w:left="2100" w:right="639"/>
        <w:spacing w:after="0" w:line="242" w:lineRule="auto"/>
        <w:rPr>
          <w:rFonts w:ascii="Arial" w:cs="Arial" w:eastAsia="Arial" w:hAnsi="Arial"/>
          <w:sz w:val="15"/>
          <w:szCs w:val="15"/>
          <w:color w:val="auto"/>
        </w:rPr>
      </w:pPr>
      <w:r>
        <w:rPr>
          <w:rFonts w:ascii="Arial" w:cs="Arial" w:eastAsia="Arial" w:hAnsi="Arial"/>
          <w:sz w:val="16"/>
          <w:szCs w:val="16"/>
          <w:color w:val="auto"/>
        </w:rPr>
        <w:t>Employee’s rights, if any, as an owner of any Shares of the Company, (vi) Employee’s rights under this Agreement, or (vii) Employee's right to receive indemnification from the Company under applicable provisions of the law of the State where Employee is employed or the articles of organization, articles of incorporation, By Laws or Operating Agreement of the Company or its Affiliated Companies, as the case may be.</w:t>
      </w:r>
    </w:p>
    <w:p>
      <w:pPr>
        <w:spacing w:after="0" w:line="136"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3.5 EQUITABLE REMEDIES. Employee acknowledges that irreparable harm will result to the</w:t>
      </w:r>
    </w:p>
    <w:p>
      <w:pPr>
        <w:spacing w:after="0" w:line="11" w:lineRule="exact"/>
        <w:rPr>
          <w:sz w:val="20"/>
          <w:szCs w:val="20"/>
          <w:color w:val="auto"/>
        </w:rPr>
      </w:pPr>
    </w:p>
    <w:p>
      <w:pPr>
        <w:jc w:val="both"/>
        <w:ind w:left="1600" w:right="579"/>
        <w:spacing w:after="0" w:line="244" w:lineRule="auto"/>
        <w:rPr>
          <w:sz w:val="20"/>
          <w:szCs w:val="20"/>
          <w:color w:val="auto"/>
        </w:rPr>
      </w:pPr>
      <w:r>
        <w:rPr>
          <w:rFonts w:ascii="Arial" w:cs="Arial" w:eastAsia="Arial" w:hAnsi="Arial"/>
          <w:sz w:val="15"/>
          <w:szCs w:val="15"/>
          <w:color w:val="auto"/>
        </w:rPr>
        <w:t>Company in the event of a material breach by Employee of any of the covenants contained in Section 3.4. Employee agrees that, in the event of such a breach and in addition to any other legal or equitable</w:t>
      </w:r>
    </w:p>
    <w:p>
      <w:pPr>
        <w:spacing w:after="0" w:line="1" w:lineRule="exact"/>
        <w:rPr>
          <w:sz w:val="20"/>
          <w:szCs w:val="20"/>
          <w:color w:val="auto"/>
        </w:rPr>
      </w:pPr>
    </w:p>
    <w:p>
      <w:pPr>
        <w:jc w:val="both"/>
        <w:ind w:left="1600" w:right="579"/>
        <w:spacing w:after="0" w:line="266" w:lineRule="auto"/>
        <w:rPr>
          <w:sz w:val="20"/>
          <w:szCs w:val="20"/>
          <w:color w:val="auto"/>
        </w:rPr>
      </w:pPr>
      <w:r>
        <w:rPr>
          <w:rFonts w:ascii="Arial" w:cs="Arial" w:eastAsia="Arial" w:hAnsi="Arial"/>
          <w:sz w:val="15"/>
          <w:szCs w:val="15"/>
          <w:color w:val="auto"/>
        </w:rPr>
        <w:t>remedies available to the Company, the Company will be entitled to specific performance of the covenants in Section 3.4; to an injunction to restrain the violation of such covenants by Employee and all other persons acting for or with Employee; or to both specific performance and an injunction. Employee further agrees that, in the event the Company brings an action for the enforcement of any</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406" w:right="1440" w:bottom="1440" w:gutter="0" w:footer="0" w:header="0"/>
        </w:sectPr>
      </w:pPr>
    </w:p>
    <w:bookmarkStart w:id="69" w:name="page70"/>
    <w:bookmarkEnd w:id="69"/>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67" w:lineRule="exact"/>
        <w:rPr>
          <w:sz w:val="20"/>
          <w:szCs w:val="20"/>
          <w:color w:val="auto"/>
        </w:rPr>
      </w:pPr>
    </w:p>
    <w:p>
      <w:pPr>
        <w:ind w:left="1600" w:right="619"/>
        <w:spacing w:after="0" w:line="254" w:lineRule="auto"/>
        <w:rPr>
          <w:sz w:val="20"/>
          <w:szCs w:val="20"/>
          <w:color w:val="auto"/>
        </w:rPr>
      </w:pPr>
      <w:r>
        <w:rPr>
          <w:rFonts w:ascii="Arial" w:cs="Arial" w:eastAsia="Arial" w:hAnsi="Arial"/>
          <w:sz w:val="15"/>
          <w:szCs w:val="15"/>
          <w:color w:val="auto"/>
        </w:rPr>
        <w:t>of those covenants, and if the court finds any part of the covenant unreasonable as to time, area or activity covered, then the court shall make a finding as to what is reasonable and shall enforce this</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Agreement by judgment or decree to the extent of such findings.</w:t>
      </w:r>
    </w:p>
    <w:p>
      <w:pPr>
        <w:spacing w:after="0" w:line="175" w:lineRule="exact"/>
        <w:rPr>
          <w:sz w:val="20"/>
          <w:szCs w:val="20"/>
          <w:color w:val="auto"/>
        </w:rPr>
      </w:pPr>
    </w:p>
    <w:p>
      <w:pPr>
        <w:ind w:left="1600" w:hanging="389"/>
        <w:spacing w:after="0"/>
        <w:tabs>
          <w:tab w:leader="none" w:pos="1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MISCELLANEOUS</w:t>
      </w:r>
    </w:p>
    <w:p>
      <w:pPr>
        <w:spacing w:after="0" w:line="177" w:lineRule="exact"/>
        <w:rPr>
          <w:rFonts w:ascii="Arial" w:cs="Arial" w:eastAsia="Arial" w:hAnsi="Arial"/>
          <w:sz w:val="17"/>
          <w:szCs w:val="17"/>
          <w:color w:val="auto"/>
        </w:rPr>
      </w:pPr>
    </w:p>
    <w:p>
      <w:pPr>
        <w:ind w:left="1600" w:right="679"/>
        <w:spacing w:after="0" w:line="236" w:lineRule="auto"/>
        <w:rPr>
          <w:rFonts w:ascii="Arial" w:cs="Arial" w:eastAsia="Arial" w:hAnsi="Arial"/>
          <w:sz w:val="17"/>
          <w:szCs w:val="17"/>
          <w:color w:val="auto"/>
        </w:rPr>
      </w:pPr>
      <w:r>
        <w:rPr>
          <w:rFonts w:ascii="Arial" w:cs="Arial" w:eastAsia="Arial" w:hAnsi="Arial"/>
          <w:sz w:val="16"/>
          <w:szCs w:val="16"/>
          <w:color w:val="auto"/>
        </w:rPr>
        <w:t>4.1 NOTICES. All notices permitted or required by this Agreement shall be in writing, and shall be deemed to have been delivered and received (i) when personally delivered, or (ii) on the third (3</w:t>
      </w:r>
      <w:r>
        <w:rPr>
          <w:rFonts w:ascii="Arial" w:cs="Arial" w:eastAsia="Arial" w:hAnsi="Arial"/>
          <w:sz w:val="18"/>
          <w:szCs w:val="18"/>
          <w:color w:val="auto"/>
          <w:vertAlign w:val="superscript"/>
        </w:rPr>
        <w:t>rd</w:t>
      </w:r>
      <w:r>
        <w:rPr>
          <w:rFonts w:ascii="Arial" w:cs="Arial" w:eastAsia="Arial" w:hAnsi="Arial"/>
          <w:sz w:val="16"/>
          <w:szCs w:val="16"/>
          <w:color w:val="auto"/>
        </w:rPr>
        <w:t xml:space="preserve">) business day after the date on which deposited in the United States mail, postage prepaid, certified or registered mail, return receipt requested, or (iii) on the date on which transmitted by other electronic means generating a receipt confirming a successful transmission </w:t>
      </w:r>
      <w:r>
        <w:rPr>
          <w:rFonts w:ascii="Arial" w:cs="Arial" w:eastAsia="Arial" w:hAnsi="Arial"/>
          <w:sz w:val="16"/>
          <w:szCs w:val="16"/>
          <w:i w:val="1"/>
          <w:iCs w:val="1"/>
          <w:color w:val="auto"/>
        </w:rPr>
        <w:t>provided that</w:t>
      </w:r>
      <w:r>
        <w:rPr>
          <w:rFonts w:ascii="Arial" w:cs="Arial" w:eastAsia="Arial" w:hAnsi="Arial"/>
          <w:sz w:val="16"/>
          <w:szCs w:val="16"/>
          <w:color w:val="auto"/>
        </w:rPr>
        <w:t>on that same date a copy of such notice is deposited in the United States mail, postage</w:t>
      </w:r>
      <w:r>
        <w:rPr>
          <w:rFonts w:ascii="Arial" w:cs="Arial" w:eastAsia="Arial" w:hAnsi="Arial"/>
          <w:sz w:val="16"/>
          <w:szCs w:val="16"/>
          <w:i w:val="1"/>
          <w:iCs w:val="1"/>
          <w:color w:val="auto"/>
        </w:rPr>
        <w:t xml:space="preserve"> </w:t>
      </w:r>
      <w:r>
        <w:rPr>
          <w:rFonts w:ascii="Arial" w:cs="Arial" w:eastAsia="Arial" w:hAnsi="Arial"/>
          <w:sz w:val="16"/>
          <w:szCs w:val="16"/>
          <w:color w:val="auto"/>
        </w:rPr>
        <w:t>prepaid, certified or registered mail, return receipt requested), or (iv) on the next business day after the date on which deposited with a regulated public carrier (e.g., Federal Express) designating overnight delivery service with a return receipt requested or equivalent thereof administered by such regulated public carrier, freight prepaid, and addressed in a sealed envelope to the party for whom intended at the address appearing on the signature page of this Agreement (if to the Company to the attention of the Secretary of the Company and if to the Employee to the attention of the Employee), or such other address or facsimile number, notice of which is given in a manner permitted by this Section 4.1.</w:t>
      </w:r>
    </w:p>
    <w:p>
      <w:pPr>
        <w:spacing w:after="0" w:line="165" w:lineRule="exact"/>
        <w:rPr>
          <w:rFonts w:ascii="Arial" w:cs="Arial" w:eastAsia="Arial" w:hAnsi="Arial"/>
          <w:sz w:val="17"/>
          <w:szCs w:val="17"/>
          <w:color w:val="auto"/>
        </w:rPr>
      </w:pPr>
    </w:p>
    <w:p>
      <w:pPr>
        <w:jc w:val="both"/>
        <w:ind w:left="1600" w:right="699"/>
        <w:spacing w:after="0" w:line="233" w:lineRule="auto"/>
        <w:rPr>
          <w:rFonts w:ascii="Arial" w:cs="Arial" w:eastAsia="Arial" w:hAnsi="Arial"/>
          <w:sz w:val="17"/>
          <w:szCs w:val="17"/>
          <w:color w:val="auto"/>
        </w:rPr>
      </w:pPr>
      <w:r>
        <w:rPr>
          <w:rFonts w:ascii="Arial" w:cs="Arial" w:eastAsia="Arial" w:hAnsi="Arial"/>
          <w:sz w:val="17"/>
          <w:szCs w:val="17"/>
          <w:color w:val="auto"/>
        </w:rPr>
        <w:t>4.2 EFFECT ON OTHER REMEDIES. Nothing in this Agreement is intended to preclude, and no provision of this Agreement shall be construed to preclude, the exercise of any other right or remedy which the Company or Employee may have by reason of the other's breach of obligations under this Agreement.</w:t>
      </w:r>
    </w:p>
    <w:p>
      <w:pPr>
        <w:spacing w:after="0" w:line="158" w:lineRule="exact"/>
        <w:rPr>
          <w:rFonts w:ascii="Arial" w:cs="Arial" w:eastAsia="Arial" w:hAnsi="Arial"/>
          <w:sz w:val="17"/>
          <w:szCs w:val="17"/>
          <w:color w:val="auto"/>
        </w:rPr>
      </w:pPr>
    </w:p>
    <w:p>
      <w:pPr>
        <w:jc w:val="both"/>
        <w:ind w:left="1600" w:right="719"/>
        <w:spacing w:after="0" w:line="236" w:lineRule="auto"/>
        <w:rPr>
          <w:rFonts w:ascii="Arial" w:cs="Arial" w:eastAsia="Arial" w:hAnsi="Arial"/>
          <w:sz w:val="17"/>
          <w:szCs w:val="17"/>
          <w:color w:val="auto"/>
        </w:rPr>
      </w:pPr>
      <w:r>
        <w:rPr>
          <w:rFonts w:ascii="Arial" w:cs="Arial" w:eastAsia="Arial" w:hAnsi="Arial"/>
          <w:sz w:val="17"/>
          <w:szCs w:val="17"/>
          <w:color w:val="auto"/>
        </w:rPr>
        <w:t>4.3 BINDING ON SUCCESSORS; ASSIGNMENT. This Agreement shall be binding upon, and inure to the benefit of, each of the parties hereto, as well as their respective heirs, successors, assigns, and personal representatives.</w:t>
      </w:r>
    </w:p>
    <w:p>
      <w:pPr>
        <w:spacing w:after="0" w:line="170" w:lineRule="exact"/>
        <w:rPr>
          <w:rFonts w:ascii="Arial" w:cs="Arial" w:eastAsia="Arial" w:hAnsi="Arial"/>
          <w:sz w:val="17"/>
          <w:szCs w:val="17"/>
          <w:color w:val="auto"/>
        </w:rPr>
      </w:pPr>
    </w:p>
    <w:p>
      <w:pPr>
        <w:ind w:left="1600" w:right="679"/>
        <w:spacing w:after="0" w:line="226" w:lineRule="auto"/>
        <w:rPr>
          <w:rFonts w:ascii="Arial" w:cs="Arial" w:eastAsia="Arial" w:hAnsi="Arial"/>
          <w:sz w:val="17"/>
          <w:szCs w:val="17"/>
          <w:color w:val="auto"/>
        </w:rPr>
      </w:pPr>
      <w:r>
        <w:rPr>
          <w:rFonts w:ascii="Arial" w:cs="Arial" w:eastAsia="Arial" w:hAnsi="Arial"/>
          <w:sz w:val="17"/>
          <w:szCs w:val="17"/>
          <w:color w:val="auto"/>
        </w:rPr>
        <w:t>4.4 GOVERNING LAW, JURISDICTION AND VENUE. This Agreement shall be construed in accordance with and shall be governed by the laws of the State of Kansas, without regard to conflict of law principles. Each party consents to the jurisdiction of the courts of the State of Kansas as the exclusive jurisdiction for the purposes of construing or enforcing this Agreement and the venue of the District Court of the State of Kansas in Johnson, County, Kansas and that any dispute relating to this Agreement shall be brought in the District Court of the State of Kansas in Johnson, County, Kansas.</w:t>
      </w:r>
    </w:p>
    <w:p>
      <w:pPr>
        <w:spacing w:after="0" w:line="162" w:lineRule="exact"/>
        <w:rPr>
          <w:rFonts w:ascii="Arial" w:cs="Arial" w:eastAsia="Arial" w:hAnsi="Arial"/>
          <w:sz w:val="17"/>
          <w:szCs w:val="17"/>
          <w:color w:val="auto"/>
        </w:rPr>
      </w:pPr>
    </w:p>
    <w:p>
      <w:pPr>
        <w:ind w:left="1600" w:right="659"/>
        <w:spacing w:after="0" w:line="243" w:lineRule="auto"/>
        <w:rPr>
          <w:rFonts w:ascii="Arial" w:cs="Arial" w:eastAsia="Arial" w:hAnsi="Arial"/>
          <w:sz w:val="17"/>
          <w:szCs w:val="17"/>
          <w:color w:val="auto"/>
        </w:rPr>
      </w:pPr>
      <w:r>
        <w:rPr>
          <w:rFonts w:ascii="Arial" w:cs="Arial" w:eastAsia="Arial" w:hAnsi="Arial"/>
          <w:sz w:val="16"/>
          <w:szCs w:val="16"/>
          <w:color w:val="auto"/>
        </w:rPr>
        <w:t>4.5 SEVERABILITY. If any of the provisions of this Agreement shall otherwise contravene or be invalid under the laws of any state, country or other jurisdiction where this Agreement is applicable but for such contravention or invalidity, such contravention or invalidity shall not invalidate all of the provisions of this Agreement but rather it shall be construed, insofar as the laws of that state or other jurisdiction are concerned, as not containing the provision or provisions contravening or invalid under the laws of that state or jurisdiction, and the rights and obligations created hereby shall be construed and enforced accordingly.</w:t>
      </w:r>
    </w:p>
    <w:p>
      <w:pPr>
        <w:spacing w:after="0" w:line="157" w:lineRule="exact"/>
        <w:rPr>
          <w:rFonts w:ascii="Arial" w:cs="Arial" w:eastAsia="Arial" w:hAnsi="Arial"/>
          <w:sz w:val="17"/>
          <w:szCs w:val="17"/>
          <w:color w:val="auto"/>
        </w:rPr>
      </w:pPr>
    </w:p>
    <w:p>
      <w:pPr>
        <w:jc w:val="both"/>
        <w:ind w:left="1600" w:right="679"/>
        <w:spacing w:after="0" w:line="236" w:lineRule="auto"/>
        <w:rPr>
          <w:rFonts w:ascii="Arial" w:cs="Arial" w:eastAsia="Arial" w:hAnsi="Arial"/>
          <w:sz w:val="17"/>
          <w:szCs w:val="17"/>
          <w:color w:val="auto"/>
        </w:rPr>
      </w:pPr>
      <w:r>
        <w:rPr>
          <w:rFonts w:ascii="Arial" w:cs="Arial" w:eastAsia="Arial" w:hAnsi="Arial"/>
          <w:sz w:val="17"/>
          <w:szCs w:val="17"/>
          <w:color w:val="auto"/>
        </w:rPr>
        <w:t>4.6 COUNTERPARTS. This Agreement may be executed in counterparts, each of which shall be deemed an original and all of which, taken together, shall be one and the same instrument, binding on all the signatories.</w:t>
      </w:r>
    </w:p>
    <w:p>
      <w:pPr>
        <w:spacing w:after="0" w:line="159" w:lineRule="exact"/>
        <w:rPr>
          <w:rFonts w:ascii="Arial" w:cs="Arial" w:eastAsia="Arial" w:hAnsi="Arial"/>
          <w:sz w:val="17"/>
          <w:szCs w:val="17"/>
          <w:color w:val="auto"/>
        </w:rPr>
      </w:pPr>
    </w:p>
    <w:p>
      <w:pPr>
        <w:jc w:val="both"/>
        <w:ind w:left="1600" w:right="679"/>
        <w:spacing w:after="0" w:line="236" w:lineRule="auto"/>
        <w:rPr>
          <w:rFonts w:ascii="Arial" w:cs="Arial" w:eastAsia="Arial" w:hAnsi="Arial"/>
          <w:sz w:val="17"/>
          <w:szCs w:val="17"/>
          <w:color w:val="auto"/>
        </w:rPr>
      </w:pPr>
      <w:r>
        <w:rPr>
          <w:rFonts w:ascii="Arial" w:cs="Arial" w:eastAsia="Arial" w:hAnsi="Arial"/>
          <w:sz w:val="17"/>
          <w:szCs w:val="17"/>
          <w:color w:val="auto"/>
        </w:rPr>
        <w:t>4.7 FURTHER ASSURANCES. Each party agrees, upon the request of another party, to make, execute, and deliver, and to take such additional steps as may be necessary to effectuate the purposes of this Agreement.</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406" w:right="1440" w:bottom="1440" w:gutter="0" w:footer="0" w:header="0"/>
        </w:sectPr>
      </w:pPr>
    </w:p>
    <w:bookmarkStart w:id="70" w:name="page71"/>
    <w:bookmarkEnd w:id="70"/>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67" w:lineRule="exact"/>
        <w:rPr>
          <w:sz w:val="20"/>
          <w:szCs w:val="20"/>
          <w:color w:val="auto"/>
        </w:rPr>
      </w:pPr>
    </w:p>
    <w:p>
      <w:pPr>
        <w:ind w:left="1600" w:right="739"/>
        <w:spacing w:after="0" w:line="254" w:lineRule="auto"/>
        <w:rPr>
          <w:sz w:val="20"/>
          <w:szCs w:val="20"/>
          <w:color w:val="auto"/>
        </w:rPr>
      </w:pPr>
      <w:r>
        <w:rPr>
          <w:rFonts w:ascii="Arial" w:cs="Arial" w:eastAsia="Arial" w:hAnsi="Arial"/>
          <w:sz w:val="15"/>
          <w:szCs w:val="15"/>
          <w:color w:val="auto"/>
        </w:rPr>
        <w:t>4.8 REASONABLE VERIFICATION. Company agrees that Employee shall have reasonable access to the Company's books and records in order to verify the accuracy of Bonus calculations</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that may be necessary following termination.</w:t>
      </w:r>
    </w:p>
    <w:p>
      <w:pPr>
        <w:spacing w:after="0" w:line="175" w:lineRule="exact"/>
        <w:rPr>
          <w:sz w:val="20"/>
          <w:szCs w:val="20"/>
          <w:color w:val="auto"/>
        </w:rPr>
      </w:pPr>
    </w:p>
    <w:p>
      <w:pPr>
        <w:ind w:left="1600" w:right="739"/>
        <w:spacing w:after="0" w:line="245" w:lineRule="auto"/>
        <w:rPr>
          <w:sz w:val="20"/>
          <w:szCs w:val="20"/>
          <w:color w:val="auto"/>
        </w:rPr>
      </w:pPr>
      <w:r>
        <w:rPr>
          <w:rFonts w:ascii="Arial" w:cs="Arial" w:eastAsia="Arial" w:hAnsi="Arial"/>
          <w:sz w:val="16"/>
          <w:szCs w:val="16"/>
          <w:color w:val="auto"/>
        </w:rPr>
        <w:t>4.9 ENTIRE AGREEMENT; AMENDMENT. This Agreement (a) represents the entire understanding of the parties with respect to the subject matter hereof, and supersedes all</w:t>
      </w:r>
    </w:p>
    <w:p>
      <w:pPr>
        <w:spacing w:after="0" w:line="1" w:lineRule="exact"/>
        <w:rPr>
          <w:sz w:val="20"/>
          <w:szCs w:val="20"/>
          <w:color w:val="auto"/>
        </w:rPr>
      </w:pPr>
    </w:p>
    <w:p>
      <w:pPr>
        <w:ind w:left="1600" w:right="659"/>
        <w:spacing w:after="0" w:line="262" w:lineRule="auto"/>
        <w:rPr>
          <w:sz w:val="20"/>
          <w:szCs w:val="20"/>
          <w:color w:val="auto"/>
        </w:rPr>
      </w:pPr>
      <w:r>
        <w:rPr>
          <w:rFonts w:ascii="Arial" w:cs="Arial" w:eastAsia="Arial" w:hAnsi="Arial"/>
          <w:sz w:val="14"/>
          <w:szCs w:val="14"/>
          <w:color w:val="auto"/>
        </w:rPr>
        <w:t>prior and contemporaneousunderstandings,whether written or oral, regarding the subject matter hereof, and (b) may not be modified or amended, except by a written instrument, executed by the party against</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whom enforcement of such amendment may be sought.</w:t>
      </w:r>
    </w:p>
    <w:p>
      <w:pPr>
        <w:spacing w:after="0" w:line="175" w:lineRule="exact"/>
        <w:rPr>
          <w:sz w:val="20"/>
          <w:szCs w:val="20"/>
          <w:color w:val="auto"/>
        </w:rPr>
      </w:pPr>
    </w:p>
    <w:p>
      <w:pPr>
        <w:ind w:left="1600"/>
        <w:spacing w:after="0"/>
        <w:tabs>
          <w:tab w:leader="none" w:pos="212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6"/>
          <w:szCs w:val="16"/>
          <w:color w:val="auto"/>
        </w:rPr>
        <w:t>TAXES.</w:t>
      </w:r>
    </w:p>
    <w:p>
      <w:pPr>
        <w:spacing w:after="0" w:line="178" w:lineRule="exact"/>
        <w:rPr>
          <w:sz w:val="20"/>
          <w:szCs w:val="20"/>
          <w:color w:val="auto"/>
        </w:rPr>
      </w:pPr>
    </w:p>
    <w:p>
      <w:pPr>
        <w:jc w:val="both"/>
        <w:ind w:left="2100" w:right="739" w:firstLine="8"/>
        <w:spacing w:after="0" w:line="247" w:lineRule="auto"/>
        <w:tabs>
          <w:tab w:leader="none" w:pos="262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Anything to the contrary notwithstanding, all payments made by the Company to Employee or Employee’s estate or beneficiaries will be subject to tax withholding pursuant to any applicable laws or regulations. Employee will be solely liable and responsible for the payment of taxes arising as a result of any payment hereunder including without limitation any unexpected or adverse tax consequence.</w:t>
      </w:r>
    </w:p>
    <w:p>
      <w:pPr>
        <w:spacing w:after="0" w:line="152" w:lineRule="exact"/>
        <w:rPr>
          <w:rFonts w:ascii="Arial" w:cs="Arial" w:eastAsia="Arial" w:hAnsi="Arial"/>
          <w:sz w:val="16"/>
          <w:szCs w:val="16"/>
          <w:color w:val="auto"/>
        </w:rPr>
      </w:pPr>
    </w:p>
    <w:p>
      <w:pPr>
        <w:jc w:val="both"/>
        <w:ind w:left="2100" w:right="739" w:firstLine="8"/>
        <w:spacing w:after="0" w:line="231" w:lineRule="auto"/>
        <w:tabs>
          <w:tab w:leader="none" w:pos="262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Agreement is intended to comply with the requirements of Code Section 409A (“Section 409A”). Accordingly, all provisions herein, or incorporated by reference, shall be construed and interpreted to comply with Section 409A and if necessary, any provision shall be held null and void to the extent such provision (or part thereof) fails to comply with Section 409A or regulations thereunder.</w:t>
      </w:r>
    </w:p>
    <w:p>
      <w:pPr>
        <w:spacing w:after="0" w:line="158" w:lineRule="exact"/>
        <w:rPr>
          <w:rFonts w:ascii="Arial" w:cs="Arial" w:eastAsia="Arial" w:hAnsi="Arial"/>
          <w:sz w:val="17"/>
          <w:szCs w:val="17"/>
          <w:color w:val="auto"/>
        </w:rPr>
      </w:pPr>
    </w:p>
    <w:p>
      <w:pPr>
        <w:jc w:val="both"/>
        <w:ind w:left="2100" w:right="799" w:firstLine="8"/>
        <w:spacing w:after="0" w:line="228" w:lineRule="auto"/>
        <w:tabs>
          <w:tab w:leader="none" w:pos="2629"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Employee is a specified employee (within the meaning of Code Section 409A) at the time Employee incurs a separation from service (within the meaning of Section 409A), then to the extent necessary to comply with Code Section 409A and avoid the imposition of taxes under Code Section 409A, the payment of certain benefits owed to Employee under this Agreement will be delayed and instead paid (without interest) to Employee upon the earlier of the first business day of the seventh month following Employee’s separation from service or death.</w:t>
      </w:r>
    </w:p>
    <w:p>
      <w:pPr>
        <w:spacing w:after="0" w:line="161" w:lineRule="exact"/>
        <w:rPr>
          <w:rFonts w:ascii="Arial" w:cs="Arial" w:eastAsia="Arial" w:hAnsi="Arial"/>
          <w:sz w:val="17"/>
          <w:szCs w:val="17"/>
          <w:color w:val="auto"/>
        </w:rPr>
      </w:pPr>
    </w:p>
    <w:p>
      <w:pPr>
        <w:ind w:left="2100" w:right="739" w:firstLine="8"/>
        <w:spacing w:after="0" w:line="257" w:lineRule="auto"/>
        <w:tabs>
          <w:tab w:leader="none" w:pos="2629"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Company and Employee agree that, for purposes of the limitations on nonqualified deferred compensation under Section 409A, each payment of compensation under this Agreement shall be treated as a separate payment of compensation for purposes of applying Section 409A deferral election rules and the exclusion from Section 409A for certain short-term deferral amounts. The Company and Employee also agree that any amounts payable solely on account of an involuntary separation from service of the Executive within the meaning of Section 409A shall be excludible from the requirements of Section 409A, either as involuntary separation pay or as short-term deferral amounts (e.g., amounts payable under the schedule prior to March 15 of the calendar year following the calendar year of involuntary separation) to the maximum possible extent.</w:t>
      </w:r>
    </w:p>
    <w:p>
      <w:pPr>
        <w:spacing w:after="0" w:line="148" w:lineRule="exact"/>
        <w:rPr>
          <w:rFonts w:ascii="Arial" w:cs="Arial" w:eastAsia="Arial" w:hAnsi="Arial"/>
          <w:sz w:val="15"/>
          <w:szCs w:val="15"/>
          <w:color w:val="auto"/>
        </w:rPr>
      </w:pPr>
    </w:p>
    <w:p>
      <w:pPr>
        <w:ind w:left="2100" w:right="739" w:firstLine="8"/>
        <w:spacing w:after="0" w:line="257" w:lineRule="auto"/>
        <w:tabs>
          <w:tab w:leader="none" w:pos="2629"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all reimbursements and in kind benefits provided under this Agreement shall be made or provided in accordance with the requirements of Section 409A,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day of the calendar year following the year in which the expense is incurred, and (iv) the right to reimbursement or in kind benefits is not subject to liquidation or exchange for another benefit.</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406" w:right="1440" w:bottom="1440" w:gutter="0" w:footer="0" w:header="0"/>
        </w:sectPr>
      </w:pPr>
    </w:p>
    <w:bookmarkStart w:id="71" w:name="page72"/>
    <w:bookmarkEnd w:id="71"/>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67" w:lineRule="exact"/>
        <w:rPr>
          <w:sz w:val="20"/>
          <w:szCs w:val="20"/>
          <w:color w:val="auto"/>
        </w:rPr>
      </w:pPr>
    </w:p>
    <w:p>
      <w:pPr>
        <w:ind w:left="1600" w:right="719"/>
        <w:spacing w:after="0" w:line="254" w:lineRule="auto"/>
        <w:rPr>
          <w:sz w:val="20"/>
          <w:szCs w:val="20"/>
          <w:color w:val="auto"/>
        </w:rPr>
      </w:pPr>
      <w:r>
        <w:rPr>
          <w:rFonts w:ascii="Arial" w:cs="Arial" w:eastAsia="Arial" w:hAnsi="Arial"/>
          <w:sz w:val="15"/>
          <w:szCs w:val="15"/>
          <w:color w:val="auto"/>
        </w:rPr>
        <w:t>4.11 409A. To the extent that any payment or other consideration due from the Company to Employee hereunder would trigger any tax or penalty under Section 409A, the Company agrees</w:t>
      </w:r>
    </w:p>
    <w:p>
      <w:pPr>
        <w:spacing w:after="0" w:line="1" w:lineRule="exact"/>
        <w:rPr>
          <w:sz w:val="20"/>
          <w:szCs w:val="20"/>
          <w:color w:val="auto"/>
        </w:rPr>
      </w:pPr>
    </w:p>
    <w:p>
      <w:pPr>
        <w:jc w:val="both"/>
        <w:ind w:left="1600" w:right="699"/>
        <w:spacing w:after="0" w:line="262" w:lineRule="auto"/>
        <w:rPr>
          <w:sz w:val="20"/>
          <w:szCs w:val="20"/>
          <w:color w:val="auto"/>
        </w:rPr>
      </w:pPr>
      <w:r>
        <w:rPr>
          <w:rFonts w:ascii="Arial" w:cs="Arial" w:eastAsia="Arial" w:hAnsi="Arial"/>
          <w:sz w:val="15"/>
          <w:szCs w:val="15"/>
          <w:color w:val="auto"/>
        </w:rPr>
        <w:t>that it will accelerate such payment or other consideration to the extent allowed by law in order to eliminate such tax or penalty. To the extent that any payment or other consideration called to be made under this Agreement fails to meet the requirements of Section 409A and the regulations relating to that statute, the Company shall immediately pay to Employee an additional sum equal to any amount required to be included as income as a result of such noncompliance.</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406" w:right="1440" w:bottom="1440" w:gutter="0" w:footer="0" w:header="0"/>
        </w:sectPr>
      </w:pPr>
    </w:p>
    <w:bookmarkStart w:id="72" w:name="page73"/>
    <w:bookmarkEnd w:id="72"/>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80" w:right="639"/>
        <w:spacing w:after="0" w:line="248" w:lineRule="auto"/>
        <w:rPr>
          <w:sz w:val="20"/>
          <w:szCs w:val="20"/>
          <w:color w:val="auto"/>
        </w:rPr>
      </w:pPr>
      <w:r>
        <w:rPr>
          <w:rFonts w:ascii="Arial" w:cs="Arial" w:eastAsia="Arial" w:hAnsi="Arial"/>
          <w:sz w:val="17"/>
          <w:szCs w:val="17"/>
          <w:color w:val="auto"/>
        </w:rPr>
        <w:t>IN WITNESS WHEREOF, the parties hereto have executed this Agreement, effective as of the date set forth above.</w:t>
      </w:r>
    </w:p>
    <w:p>
      <w:pPr>
        <w:spacing w:after="0" w:line="147"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CROSSFIRST BANKSHARES, INC.</w:t>
      </w:r>
    </w:p>
    <w:p>
      <w:pPr>
        <w:spacing w:after="0" w:line="200" w:lineRule="exact"/>
        <w:rPr>
          <w:sz w:val="20"/>
          <w:szCs w:val="20"/>
          <w:color w:val="auto"/>
        </w:rPr>
      </w:pPr>
    </w:p>
    <w:p>
      <w:pPr>
        <w:spacing w:after="0" w:line="366" w:lineRule="exact"/>
        <w:rPr>
          <w:sz w:val="20"/>
          <w:szCs w:val="20"/>
          <w:color w:val="auto"/>
        </w:rPr>
      </w:pPr>
    </w:p>
    <w:p>
      <w:pPr>
        <w:ind w:left="5180"/>
        <w:spacing w:after="0"/>
        <w:rPr>
          <w:sz w:val="20"/>
          <w:szCs w:val="20"/>
          <w:color w:val="auto"/>
        </w:rPr>
      </w:pPr>
      <w:r>
        <w:rPr>
          <w:rFonts w:ascii="Arial" w:cs="Arial" w:eastAsia="Arial" w:hAnsi="Arial"/>
          <w:sz w:val="17"/>
          <w:szCs w:val="17"/>
          <w:u w:val="single" w:color="auto"/>
          <w:color w:val="auto"/>
        </w:rPr>
        <w:t>/s/ Michael J. Maddo</w:t>
      </w:r>
      <w:r>
        <w:rPr>
          <w:rFonts w:ascii="Arial" w:cs="Arial" w:eastAsia="Arial" w:hAnsi="Arial"/>
          <w:sz w:val="17"/>
          <w:szCs w:val="17"/>
          <w:color w:val="auto"/>
        </w:rPr>
        <w:t>x</w:t>
      </w:r>
    </w:p>
    <w:p>
      <w:pPr>
        <w:ind w:left="5180"/>
        <w:spacing w:after="0" w:line="222" w:lineRule="auto"/>
        <w:rPr>
          <w:sz w:val="20"/>
          <w:szCs w:val="20"/>
          <w:color w:val="auto"/>
        </w:rPr>
      </w:pPr>
      <w:r>
        <w:rPr>
          <w:rFonts w:ascii="Arial" w:cs="Arial" w:eastAsia="Arial" w:hAnsi="Arial"/>
          <w:sz w:val="17"/>
          <w:szCs w:val="17"/>
          <w:color w:val="auto"/>
        </w:rPr>
        <w:t>Mike Maddox,</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President &amp; CEO</w:t>
      </w:r>
    </w:p>
    <w:p>
      <w:pPr>
        <w:spacing w:after="0" w:line="200" w:lineRule="exact"/>
        <w:rPr>
          <w:sz w:val="20"/>
          <w:szCs w:val="20"/>
          <w:color w:val="auto"/>
        </w:rPr>
      </w:pPr>
    </w:p>
    <w:p>
      <w:pPr>
        <w:spacing w:after="0" w:line="344"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BENJAMIN R. CLOUSE</w:t>
      </w:r>
    </w:p>
    <w:p>
      <w:pPr>
        <w:spacing w:after="0" w:line="200" w:lineRule="exact"/>
        <w:rPr>
          <w:sz w:val="20"/>
          <w:szCs w:val="20"/>
          <w:color w:val="auto"/>
        </w:rPr>
      </w:pPr>
    </w:p>
    <w:p>
      <w:pPr>
        <w:spacing w:after="0" w:line="366" w:lineRule="exact"/>
        <w:rPr>
          <w:sz w:val="20"/>
          <w:szCs w:val="20"/>
          <w:color w:val="auto"/>
        </w:rPr>
      </w:pPr>
    </w:p>
    <w:p>
      <w:pPr>
        <w:ind w:left="5180"/>
        <w:spacing w:after="0"/>
        <w:rPr>
          <w:sz w:val="20"/>
          <w:szCs w:val="20"/>
          <w:color w:val="auto"/>
        </w:rPr>
      </w:pPr>
      <w:r>
        <w:rPr>
          <w:rFonts w:ascii="Arial" w:cs="Arial" w:eastAsia="Arial" w:hAnsi="Arial"/>
          <w:sz w:val="17"/>
          <w:szCs w:val="17"/>
          <w:u w:val="single" w:color="auto"/>
          <w:color w:val="auto"/>
        </w:rPr>
        <w:t>/s/ Benjamin R. Clou</w:t>
      </w:r>
      <w:r>
        <w:rPr>
          <w:rFonts w:ascii="Arial" w:cs="Arial" w:eastAsia="Arial" w:hAnsi="Arial"/>
          <w:sz w:val="17"/>
          <w:szCs w:val="17"/>
          <w:color w:val="auto"/>
        </w:rPr>
        <w:t>se</w:t>
      </w:r>
    </w:p>
    <w:p>
      <w:pPr>
        <w:ind w:left="5180"/>
        <w:spacing w:after="0"/>
        <w:rPr>
          <w:sz w:val="20"/>
          <w:szCs w:val="20"/>
          <w:color w:val="auto"/>
        </w:rPr>
      </w:pPr>
      <w:r>
        <w:rPr>
          <w:rFonts w:ascii="Arial" w:cs="Arial" w:eastAsia="Arial" w:hAnsi="Arial"/>
          <w:sz w:val="17"/>
          <w:szCs w:val="17"/>
          <w:color w:val="auto"/>
        </w:rPr>
        <w:t>Benjamin R. Clouse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406" w:right="1440" w:bottom="1440" w:gutter="0" w:footer="0" w:header="0"/>
        </w:sectPr>
      </w:pPr>
    </w:p>
    <w:bookmarkStart w:id="73" w:name="page74"/>
    <w:bookmarkEnd w:id="73"/>
    <w:p>
      <w:pPr>
        <w:ind w:left="5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Certification of Chief Executive Officer</w:t>
      </w:r>
    </w:p>
    <w:p>
      <w:pPr>
        <w:spacing w:after="0" w:line="25" w:lineRule="exact"/>
        <w:rPr>
          <w:sz w:val="20"/>
          <w:szCs w:val="20"/>
          <w:color w:val="auto"/>
        </w:rPr>
      </w:pPr>
    </w:p>
    <w:p>
      <w:pPr>
        <w:ind w:left="540" w:right="2559"/>
        <w:spacing w:after="0" w:line="244" w:lineRule="auto"/>
        <w:rPr>
          <w:sz w:val="20"/>
          <w:szCs w:val="20"/>
          <w:color w:val="auto"/>
        </w:rPr>
      </w:pPr>
      <w:r>
        <w:rPr>
          <w:rFonts w:ascii="Arial" w:cs="Arial" w:eastAsia="Arial" w:hAnsi="Arial"/>
          <w:sz w:val="17"/>
          <w:szCs w:val="17"/>
          <w:b w:val="1"/>
          <w:bCs w:val="1"/>
          <w:color w:val="auto"/>
        </w:rPr>
        <w:t>Pursuant to Rules 13a-14(a) and 15d-14(a) of the Securities Exchange Act of 1934 and Section 302 of the Sarbanes-Oxley Act of 2002</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 Michael J. Maddox, certify that:</w:t>
      </w:r>
    </w:p>
    <w:p>
      <w:pPr>
        <w:spacing w:after="0" w:line="178" w:lineRule="exact"/>
        <w:rPr>
          <w:sz w:val="20"/>
          <w:szCs w:val="20"/>
          <w:color w:val="auto"/>
        </w:rPr>
      </w:pPr>
    </w:p>
    <w:p>
      <w:pPr>
        <w:ind w:left="1580" w:hanging="527"/>
        <w:spacing w:after="0"/>
        <w:tabs>
          <w:tab w:leader="none" w:pos="1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CrossFirst Bankshares, Inc.;</w:t>
      </w:r>
    </w:p>
    <w:p>
      <w:pPr>
        <w:spacing w:after="0" w:line="124" w:lineRule="exact"/>
        <w:rPr>
          <w:rFonts w:ascii="Arial" w:cs="Arial" w:eastAsia="Arial" w:hAnsi="Arial"/>
          <w:sz w:val="17"/>
          <w:szCs w:val="17"/>
          <w:color w:val="auto"/>
        </w:rPr>
      </w:pPr>
    </w:p>
    <w:p>
      <w:pPr>
        <w:jc w:val="both"/>
        <w:ind w:left="1060" w:right="419" w:hanging="7"/>
        <w:spacing w:after="0" w:line="304" w:lineRule="auto"/>
        <w:tabs>
          <w:tab w:leader="none" w:pos="1593"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materialfactnecessary to make the statements made, in light of the circumstances under which such statements</w:t>
      </w:r>
    </w:p>
    <w:p>
      <w:pPr>
        <w:ind w:left="1560"/>
        <w:spacing w:after="0"/>
        <w:rPr>
          <w:rFonts w:ascii="Arial" w:cs="Arial" w:eastAsia="Arial" w:hAnsi="Arial"/>
          <w:sz w:val="14"/>
          <w:szCs w:val="14"/>
          <w:color w:val="auto"/>
        </w:rPr>
      </w:pPr>
      <w:r>
        <w:rPr>
          <w:rFonts w:ascii="Arial" w:cs="Arial" w:eastAsia="Arial" w:hAnsi="Arial"/>
          <w:sz w:val="17"/>
          <w:szCs w:val="17"/>
          <w:color w:val="auto"/>
        </w:rPr>
        <w:t>misleadingweremade, withnot respect to the period covered by this report;</w:t>
      </w:r>
    </w:p>
    <w:p>
      <w:pPr>
        <w:spacing w:after="0" w:line="110" w:lineRule="exact"/>
        <w:rPr>
          <w:rFonts w:ascii="Arial" w:cs="Arial" w:eastAsia="Arial" w:hAnsi="Arial"/>
          <w:sz w:val="14"/>
          <w:szCs w:val="14"/>
          <w:color w:val="auto"/>
        </w:rPr>
      </w:pPr>
    </w:p>
    <w:p>
      <w:pPr>
        <w:jc w:val="both"/>
        <w:ind w:left="1060" w:right="259" w:hanging="7"/>
        <w:spacing w:after="0" w:line="304" w:lineRule="auto"/>
        <w:tabs>
          <w:tab w:leader="none" w:pos="1593"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presentinallmaterial respects the financial condition, results of operations and cash flows of the registrant as of,</w:t>
      </w:r>
    </w:p>
    <w:p>
      <w:pPr>
        <w:ind w:left="1560"/>
        <w:spacing w:after="0"/>
        <w:rPr>
          <w:rFonts w:ascii="Arial" w:cs="Arial" w:eastAsia="Arial" w:hAnsi="Arial"/>
          <w:sz w:val="14"/>
          <w:szCs w:val="14"/>
          <w:color w:val="auto"/>
        </w:rPr>
      </w:pPr>
      <w:r>
        <w:rPr>
          <w:rFonts w:ascii="Arial" w:cs="Arial" w:eastAsia="Arial" w:hAnsi="Arial"/>
          <w:sz w:val="17"/>
          <w:szCs w:val="17"/>
          <w:color w:val="auto"/>
        </w:rPr>
        <w:t>periodsandfor, prthesented in this report;</w:t>
      </w:r>
    </w:p>
    <w:p>
      <w:pPr>
        <w:spacing w:after="0" w:line="121" w:lineRule="exact"/>
        <w:rPr>
          <w:rFonts w:ascii="Arial" w:cs="Arial" w:eastAsia="Arial" w:hAnsi="Arial"/>
          <w:sz w:val="14"/>
          <w:szCs w:val="14"/>
          <w:color w:val="auto"/>
        </w:rPr>
      </w:pPr>
    </w:p>
    <w:p>
      <w:pPr>
        <w:ind w:left="1580" w:hanging="527"/>
        <w:spacing w:after="0"/>
        <w:tabs>
          <w:tab w:leader="none" w:pos="1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w:t>
      </w:r>
    </w:p>
    <w:p>
      <w:pPr>
        <w:spacing w:after="0" w:line="33"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controlsproceduresand (as defined in Exchange Act Rules 13a-15(e) and 15d-15(e)) for the registrant and have:</w:t>
      </w:r>
    </w:p>
    <w:p>
      <w:pPr>
        <w:spacing w:after="0" w:line="218" w:lineRule="exact"/>
        <w:rPr>
          <w:rFonts w:ascii="Arial" w:cs="Arial" w:eastAsia="Arial" w:hAnsi="Arial"/>
          <w:sz w:val="15"/>
          <w:szCs w:val="15"/>
          <w:color w:val="auto"/>
        </w:rPr>
      </w:pPr>
    </w:p>
    <w:p>
      <w:pPr>
        <w:ind w:left="1560" w:right="559" w:firstLine="5"/>
        <w:spacing w:after="0" w:line="304" w:lineRule="auto"/>
        <w:tabs>
          <w:tab w:leader="none" w:pos="2168" w:val="left"/>
        </w:tabs>
        <w:numPr>
          <w:ilvl w:val="1"/>
          <w:numId w:val="3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proceduresdesignedtobe under our supervision, to ensure that material information relating to the registrant,</w:t>
      </w:r>
    </w:p>
    <w:p>
      <w:pPr>
        <w:ind w:left="2140" w:right="219"/>
        <w:spacing w:after="0" w:line="243" w:lineRule="auto"/>
        <w:rPr>
          <w:rFonts w:ascii="Arial" w:cs="Arial" w:eastAsia="Arial" w:hAnsi="Arial"/>
          <w:sz w:val="14"/>
          <w:szCs w:val="14"/>
          <w:color w:val="auto"/>
        </w:rPr>
      </w:pPr>
      <w:r>
        <w:rPr>
          <w:rFonts w:ascii="Arial" w:cs="Arial" w:eastAsia="Arial" w:hAnsi="Arial"/>
          <w:sz w:val="17"/>
          <w:szCs w:val="17"/>
          <w:color w:val="auto"/>
        </w:rPr>
        <w:t>consolidatedincludingits subsidiaries, is made known to us by others within those entities, particularly during whichtheperiodthis inreport is being prepared;</w:t>
      </w:r>
    </w:p>
    <w:p>
      <w:pPr>
        <w:spacing w:after="0" w:line="112" w:lineRule="exact"/>
        <w:rPr>
          <w:rFonts w:ascii="Arial" w:cs="Arial" w:eastAsia="Arial" w:hAnsi="Arial"/>
          <w:sz w:val="14"/>
          <w:szCs w:val="14"/>
          <w:color w:val="auto"/>
        </w:rPr>
      </w:pPr>
    </w:p>
    <w:p>
      <w:pPr>
        <w:jc w:val="both"/>
        <w:ind w:left="1560" w:right="179" w:firstLine="5"/>
        <w:spacing w:after="0" w:line="276" w:lineRule="auto"/>
        <w:tabs>
          <w:tab w:leader="none" w:pos="2170" w:val="left"/>
        </w:tabs>
        <w:numPr>
          <w:ilvl w:val="1"/>
          <w:numId w:val="3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reportour conclusions about the effectiveness of the disclosure controls and procedures, as of the end of</w:t>
      </w:r>
    </w:p>
    <w:p>
      <w:pPr>
        <w:spacing w:after="0" w:line="1" w:lineRule="exact"/>
        <w:rPr>
          <w:rFonts w:ascii="Arial" w:cs="Arial" w:eastAsia="Arial" w:hAnsi="Arial"/>
          <w:sz w:val="15"/>
          <w:szCs w:val="15"/>
          <w:color w:val="auto"/>
        </w:rPr>
      </w:pPr>
    </w:p>
    <w:p>
      <w:pPr>
        <w:ind w:left="2140"/>
        <w:spacing w:after="0"/>
        <w:rPr>
          <w:rFonts w:ascii="Arial" w:cs="Arial" w:eastAsia="Arial" w:hAnsi="Arial"/>
          <w:sz w:val="15"/>
          <w:szCs w:val="15"/>
          <w:color w:val="auto"/>
        </w:rPr>
      </w:pPr>
      <w:r>
        <w:rPr>
          <w:rFonts w:ascii="Arial" w:cs="Arial" w:eastAsia="Arial" w:hAnsi="Arial"/>
          <w:sz w:val="17"/>
          <w:szCs w:val="17"/>
          <w:color w:val="auto"/>
        </w:rPr>
        <w:t>thecoveredperiodby this report based on such evaluation; and</w:t>
      </w:r>
    </w:p>
    <w:p>
      <w:pPr>
        <w:spacing w:after="0" w:line="121" w:lineRule="exact"/>
        <w:rPr>
          <w:rFonts w:ascii="Arial" w:cs="Arial" w:eastAsia="Arial" w:hAnsi="Arial"/>
          <w:sz w:val="15"/>
          <w:szCs w:val="15"/>
          <w:color w:val="auto"/>
        </w:rPr>
      </w:pPr>
    </w:p>
    <w:p>
      <w:pPr>
        <w:ind w:left="1560" w:right="179" w:firstLine="5"/>
        <w:spacing w:after="0" w:line="283" w:lineRule="auto"/>
        <w:tabs>
          <w:tab w:leader="none" w:pos="2168" w:val="left"/>
        </w:tabs>
        <w:numPr>
          <w:ilvl w:val="1"/>
          <w:numId w:val="3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occurredduring the registrant’s most recent fiscal quarter (the registrant’s fourth fiscal quarter in the case</w:t>
      </w:r>
    </w:p>
    <w:p>
      <w:pPr>
        <w:spacing w:after="0" w:line="1" w:lineRule="exact"/>
        <w:rPr>
          <w:rFonts w:ascii="Arial" w:cs="Arial" w:eastAsia="Arial" w:hAnsi="Arial"/>
          <w:sz w:val="15"/>
          <w:szCs w:val="15"/>
          <w:color w:val="auto"/>
        </w:rPr>
      </w:pPr>
    </w:p>
    <w:p>
      <w:pPr>
        <w:ind w:left="2140" w:right="499"/>
        <w:spacing w:after="0" w:line="244" w:lineRule="auto"/>
        <w:rPr>
          <w:rFonts w:ascii="Arial" w:cs="Arial" w:eastAsia="Arial" w:hAnsi="Arial"/>
          <w:sz w:val="15"/>
          <w:szCs w:val="15"/>
          <w:color w:val="auto"/>
        </w:rPr>
      </w:pPr>
      <w:r>
        <w:rPr>
          <w:rFonts w:ascii="Arial" w:cs="Arial" w:eastAsia="Arial" w:hAnsi="Arial"/>
          <w:sz w:val="17"/>
          <w:szCs w:val="17"/>
          <w:color w:val="auto"/>
        </w:rPr>
        <w:t>ofreport)anannualthathas materially affected, or is reasonably likely to materially affect, the registrant’s ovint</w:t>
      </w:r>
      <w:r>
        <w:rPr>
          <w:rFonts w:ascii="Arial" w:cs="Arial" w:eastAsia="Arial" w:hAnsi="Arial"/>
          <w:sz w:val="17"/>
          <w:szCs w:val="17"/>
          <w:b w:val="1"/>
          <w:bCs w:val="1"/>
          <w:color w:val="auto"/>
        </w:rPr>
        <w:t>er</w:t>
      </w:r>
      <w:r>
        <w:rPr>
          <w:rFonts w:ascii="Arial" w:cs="Arial" w:eastAsia="Arial" w:hAnsi="Arial"/>
          <w:sz w:val="17"/>
          <w:szCs w:val="17"/>
          <w:color w:val="auto"/>
        </w:rPr>
        <w:t>nalfinancialcontrolreporting; and</w:t>
      </w:r>
    </w:p>
    <w:p>
      <w:pPr>
        <w:spacing w:after="0" w:line="111" w:lineRule="exact"/>
        <w:rPr>
          <w:rFonts w:ascii="Arial" w:cs="Arial" w:eastAsia="Arial" w:hAnsi="Arial"/>
          <w:sz w:val="15"/>
          <w:szCs w:val="15"/>
          <w:color w:val="auto"/>
        </w:rPr>
      </w:pPr>
    </w:p>
    <w:p>
      <w:pPr>
        <w:ind w:left="1060" w:right="619" w:hanging="7"/>
        <w:spacing w:after="0" w:line="296" w:lineRule="auto"/>
        <w:tabs>
          <w:tab w:leader="none" w:pos="1593"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internalfinancialcontroloverreporting, to the registrant’s auditors and the audit committee of the registrant’s board of</w:t>
      </w:r>
    </w:p>
    <w:p>
      <w:pPr>
        <w:ind w:left="1560"/>
        <w:spacing w:after="0"/>
        <w:rPr>
          <w:rFonts w:ascii="Arial" w:cs="Arial" w:eastAsia="Arial" w:hAnsi="Arial"/>
          <w:sz w:val="14"/>
          <w:szCs w:val="14"/>
          <w:color w:val="auto"/>
        </w:rPr>
      </w:pPr>
      <w:r>
        <w:rPr>
          <w:rFonts w:ascii="Arial" w:cs="Arial" w:eastAsia="Arial" w:hAnsi="Arial"/>
          <w:sz w:val="17"/>
          <w:szCs w:val="17"/>
          <w:color w:val="auto"/>
        </w:rPr>
        <w:t>performingdirectors(ortheprsonsequivalent functions):</w:t>
      </w:r>
    </w:p>
    <w:p>
      <w:pPr>
        <w:spacing w:after="0" w:line="121" w:lineRule="exact"/>
        <w:rPr>
          <w:rFonts w:ascii="Arial" w:cs="Arial" w:eastAsia="Arial" w:hAnsi="Arial"/>
          <w:sz w:val="14"/>
          <w:szCs w:val="14"/>
          <w:color w:val="auto"/>
        </w:rPr>
      </w:pPr>
    </w:p>
    <w:p>
      <w:pPr>
        <w:ind w:left="2180" w:hanging="615"/>
        <w:spacing w:after="0"/>
        <w:tabs>
          <w:tab w:leader="none" w:pos="21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w:t>
      </w:r>
    </w:p>
    <w:p>
      <w:pPr>
        <w:sectPr>
          <w:pgSz w:w="11900" w:h="16838" w:orient="portrait"/>
          <w:cols w:equalWidth="0" w:num="1">
            <w:col w:w="9019"/>
          </w:cols>
          <w:pgMar w:left="1440" w:top="1015" w:right="1440" w:bottom="1440" w:gutter="0" w:footer="0" w:header="0"/>
        </w:sectPr>
      </w:pPr>
    </w:p>
    <w:p>
      <w:pPr>
        <w:spacing w:after="0" w:line="44"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over</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79"/>
        <w:spacing w:after="0" w:line="244" w:lineRule="auto"/>
        <w:rPr>
          <w:sz w:val="20"/>
          <w:szCs w:val="20"/>
          <w:color w:val="auto"/>
        </w:rPr>
      </w:pPr>
      <w:r>
        <w:rPr>
          <w:rFonts w:ascii="Arial" w:cs="Arial" w:eastAsia="Arial" w:hAnsi="Arial"/>
          <w:sz w:val="17"/>
          <w:szCs w:val="17"/>
          <w:color w:val="auto"/>
        </w:rPr>
        <w:t>financial reporting which are reasonably likely to adversely affect the registrant’s ability to record,summarizeprocess,and report financial information; and</w:t>
      </w:r>
    </w:p>
    <w:p>
      <w:pPr>
        <w:spacing w:after="0" w:line="101" w:lineRule="exact"/>
        <w:rPr>
          <w:sz w:val="20"/>
          <w:szCs w:val="20"/>
          <w:color w:val="auto"/>
        </w:rPr>
      </w:pPr>
    </w:p>
    <w:p>
      <w:pPr>
        <w:sectPr>
          <w:pgSz w:w="11900" w:h="16838" w:orient="portrait"/>
          <w:cols w:equalWidth="0" w:num="2">
            <w:col w:w="1860" w:space="280"/>
            <w:col w:w="6879"/>
          </w:cols>
          <w:pgMar w:left="1440" w:top="1015" w:right="1440" w:bottom="1440" w:gutter="0" w:footer="0" w:header="0"/>
          <w:type w:val="continuous"/>
        </w:sectPr>
      </w:pPr>
    </w:p>
    <w:p>
      <w:pPr>
        <w:ind w:left="1560" w:right="419" w:firstLine="5"/>
        <w:spacing w:after="0" w:line="261" w:lineRule="auto"/>
        <w:tabs>
          <w:tab w:leader="none" w:pos="217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significantin theroleregistrant’s internal control over financial reporting.</w:t>
      </w:r>
    </w:p>
    <w:p>
      <w:pPr>
        <w:spacing w:after="0" w:line="36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Date: November 2, 2021</w:t>
      </w:r>
    </w:p>
    <w:p>
      <w:pPr>
        <w:spacing w:after="0" w:line="18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Michael J. Maddox</w:t>
      </w:r>
    </w:p>
    <w:p>
      <w:pPr>
        <w:ind w:left="6060"/>
        <w:spacing w:after="0" w:line="209" w:lineRule="auto"/>
        <w:rPr>
          <w:sz w:val="20"/>
          <w:szCs w:val="20"/>
          <w:color w:val="auto"/>
        </w:rPr>
      </w:pPr>
      <w:r>
        <w:rPr>
          <w:rFonts w:ascii="Arial" w:cs="Arial" w:eastAsia="Arial" w:hAnsi="Arial"/>
          <w:sz w:val="17"/>
          <w:szCs w:val="17"/>
          <w:color w:val="auto"/>
        </w:rPr>
        <w:t>Michael J. Maddox</w:t>
      </w:r>
    </w:p>
    <w:p>
      <w:pPr>
        <w:ind w:left="6060"/>
        <w:spacing w:after="0" w:line="197" w:lineRule="auto"/>
        <w:rPr>
          <w:sz w:val="20"/>
          <w:szCs w:val="20"/>
          <w:color w:val="auto"/>
        </w:rPr>
      </w:pPr>
      <w:r>
        <w:rPr>
          <w:rFonts w:ascii="Arial" w:cs="Arial" w:eastAsia="Arial" w:hAnsi="Arial"/>
          <w:sz w:val="17"/>
          <w:szCs w:val="17"/>
          <w:color w:val="auto"/>
        </w:rPr>
        <w:t>Chief Executive Officer</w:t>
      </w:r>
    </w:p>
    <w:p>
      <w:pPr>
        <w:ind w:left="60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9019"/>
          </w:cols>
          <w:pgMar w:left="1440" w:top="1015" w:right="1440" w:bottom="1440" w:gutter="0" w:footer="0" w:header="0"/>
          <w:type w:val="continuous"/>
        </w:sectPr>
      </w:pPr>
    </w:p>
    <w:bookmarkStart w:id="74" w:name="page75"/>
    <w:bookmarkEnd w:id="74"/>
    <w:p>
      <w:pPr>
        <w:ind w:left="5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Certification of Chief Financial Officer</w:t>
      </w:r>
    </w:p>
    <w:p>
      <w:pPr>
        <w:spacing w:after="0" w:line="25" w:lineRule="exact"/>
        <w:rPr>
          <w:sz w:val="20"/>
          <w:szCs w:val="20"/>
          <w:color w:val="auto"/>
        </w:rPr>
      </w:pPr>
    </w:p>
    <w:p>
      <w:pPr>
        <w:ind w:left="540" w:right="2559"/>
        <w:spacing w:after="0" w:line="244" w:lineRule="auto"/>
        <w:rPr>
          <w:sz w:val="20"/>
          <w:szCs w:val="20"/>
          <w:color w:val="auto"/>
        </w:rPr>
      </w:pPr>
      <w:r>
        <w:rPr>
          <w:rFonts w:ascii="Arial" w:cs="Arial" w:eastAsia="Arial" w:hAnsi="Arial"/>
          <w:sz w:val="17"/>
          <w:szCs w:val="17"/>
          <w:b w:val="1"/>
          <w:bCs w:val="1"/>
          <w:color w:val="auto"/>
        </w:rPr>
        <w:t>Pursuant to Rules 13a-14(a) and 15d-14(a) of the Securities Exchange Act of 1934 and Section 302 of the Sarbanes-Oxley Act of 2002</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 Benjamin R. Clouse, certify that:</w:t>
      </w:r>
    </w:p>
    <w:p>
      <w:pPr>
        <w:spacing w:after="0" w:line="178" w:lineRule="exact"/>
        <w:rPr>
          <w:sz w:val="20"/>
          <w:szCs w:val="20"/>
          <w:color w:val="auto"/>
        </w:rPr>
      </w:pPr>
    </w:p>
    <w:p>
      <w:pPr>
        <w:ind w:left="1580" w:hanging="527"/>
        <w:spacing w:after="0"/>
        <w:tabs>
          <w:tab w:leader="none" w:pos="1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CrossFirst Bankshares, Inc.;</w:t>
      </w:r>
    </w:p>
    <w:p>
      <w:pPr>
        <w:spacing w:after="0" w:line="145" w:lineRule="exact"/>
        <w:rPr>
          <w:rFonts w:ascii="Arial" w:cs="Arial" w:eastAsia="Arial" w:hAnsi="Arial"/>
          <w:sz w:val="17"/>
          <w:szCs w:val="17"/>
          <w:color w:val="auto"/>
        </w:rPr>
      </w:pPr>
    </w:p>
    <w:p>
      <w:pPr>
        <w:jc w:val="both"/>
        <w:ind w:left="1060" w:right="419" w:hanging="7"/>
        <w:spacing w:after="0" w:line="312" w:lineRule="auto"/>
        <w:tabs>
          <w:tab w:leader="none" w:pos="1593"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materialfactnecessary to make the statements made, in light of the circumstances under which such statements</w:t>
      </w:r>
    </w:p>
    <w:p>
      <w:pPr>
        <w:ind w:left="1560"/>
        <w:spacing w:after="0"/>
        <w:rPr>
          <w:rFonts w:ascii="Arial" w:cs="Arial" w:eastAsia="Arial" w:hAnsi="Arial"/>
          <w:sz w:val="14"/>
          <w:szCs w:val="14"/>
          <w:color w:val="auto"/>
        </w:rPr>
      </w:pPr>
      <w:r>
        <w:rPr>
          <w:rFonts w:ascii="Arial" w:cs="Arial" w:eastAsia="Arial" w:hAnsi="Arial"/>
          <w:sz w:val="17"/>
          <w:szCs w:val="17"/>
          <w:color w:val="auto"/>
        </w:rPr>
        <w:t>weremisleadingmade, withnot respect to the period covered by this report;</w:t>
      </w:r>
    </w:p>
    <w:p>
      <w:pPr>
        <w:spacing w:after="0" w:line="142" w:lineRule="exact"/>
        <w:rPr>
          <w:rFonts w:ascii="Arial" w:cs="Arial" w:eastAsia="Arial" w:hAnsi="Arial"/>
          <w:sz w:val="14"/>
          <w:szCs w:val="14"/>
          <w:color w:val="auto"/>
        </w:rPr>
      </w:pPr>
    </w:p>
    <w:p>
      <w:pPr>
        <w:jc w:val="both"/>
        <w:ind w:left="1060" w:right="259" w:hanging="7"/>
        <w:spacing w:after="0" w:line="312" w:lineRule="auto"/>
        <w:tabs>
          <w:tab w:leader="none" w:pos="1593"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presentinallmaterial respects the financial condition, results of operations and cash flows of the registrant as of,</w:t>
      </w:r>
    </w:p>
    <w:p>
      <w:pPr>
        <w:ind w:left="1560"/>
        <w:spacing w:after="0"/>
        <w:rPr>
          <w:rFonts w:ascii="Arial" w:cs="Arial" w:eastAsia="Arial" w:hAnsi="Arial"/>
          <w:sz w:val="14"/>
          <w:szCs w:val="14"/>
          <w:color w:val="auto"/>
        </w:rPr>
      </w:pPr>
      <w:r>
        <w:rPr>
          <w:rFonts w:ascii="Arial" w:cs="Arial" w:eastAsia="Arial" w:hAnsi="Arial"/>
          <w:sz w:val="17"/>
          <w:szCs w:val="17"/>
          <w:color w:val="auto"/>
        </w:rPr>
        <w:t>andperiodsfor, presentedthe in this report;</w:t>
      </w:r>
    </w:p>
    <w:p>
      <w:pPr>
        <w:spacing w:after="0" w:line="153" w:lineRule="exact"/>
        <w:rPr>
          <w:rFonts w:ascii="Arial" w:cs="Arial" w:eastAsia="Arial" w:hAnsi="Arial"/>
          <w:sz w:val="14"/>
          <w:szCs w:val="14"/>
          <w:color w:val="auto"/>
        </w:rPr>
      </w:pPr>
    </w:p>
    <w:p>
      <w:pPr>
        <w:ind w:left="1580" w:hanging="527"/>
        <w:spacing w:after="0"/>
        <w:tabs>
          <w:tab w:leader="none" w:pos="1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w:t>
      </w:r>
    </w:p>
    <w:p>
      <w:pPr>
        <w:spacing w:after="0" w:line="2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5"/>
          <w:szCs w:val="15"/>
          <w:color w:val="auto"/>
        </w:rPr>
        <w:t>controlsproceduresand (as defined in Exchange Act Rules 13a-15(e) and 15d-15(e)) for the registrant and have:</w:t>
      </w:r>
    </w:p>
    <w:p>
      <w:pPr>
        <w:spacing w:after="0" w:line="218" w:lineRule="exact"/>
        <w:rPr>
          <w:rFonts w:ascii="Arial" w:cs="Arial" w:eastAsia="Arial" w:hAnsi="Arial"/>
          <w:sz w:val="16"/>
          <w:szCs w:val="16"/>
          <w:color w:val="auto"/>
        </w:rPr>
      </w:pPr>
    </w:p>
    <w:p>
      <w:pPr>
        <w:ind w:left="1560" w:right="499" w:firstLine="5"/>
        <w:spacing w:after="0" w:line="304" w:lineRule="auto"/>
        <w:tabs>
          <w:tab w:leader="none" w:pos="2232" w:val="left"/>
        </w:tabs>
        <w:numPr>
          <w:ilvl w:val="1"/>
          <w:numId w:val="3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proceduresdesignedtobe under our supervision, to ensure that material information relating to the registrant,</w:t>
      </w:r>
    </w:p>
    <w:p>
      <w:pPr>
        <w:ind w:left="2200" w:right="159"/>
        <w:spacing w:after="0" w:line="243" w:lineRule="auto"/>
        <w:rPr>
          <w:rFonts w:ascii="Arial" w:cs="Arial" w:eastAsia="Arial" w:hAnsi="Arial"/>
          <w:sz w:val="14"/>
          <w:szCs w:val="14"/>
          <w:color w:val="auto"/>
        </w:rPr>
      </w:pPr>
      <w:r>
        <w:rPr>
          <w:rFonts w:ascii="Arial" w:cs="Arial" w:eastAsia="Arial" w:hAnsi="Arial"/>
          <w:sz w:val="17"/>
          <w:szCs w:val="17"/>
          <w:color w:val="auto"/>
        </w:rPr>
        <w:t>consolidatedincludingits subsidiaries, is made known to us by others within those entities, particularly during inthewhichperiodthis report is being prepared;</w:t>
      </w:r>
    </w:p>
    <w:p>
      <w:pPr>
        <w:spacing w:after="0" w:line="112" w:lineRule="exact"/>
        <w:rPr>
          <w:rFonts w:ascii="Arial" w:cs="Arial" w:eastAsia="Arial" w:hAnsi="Arial"/>
          <w:sz w:val="14"/>
          <w:szCs w:val="14"/>
          <w:color w:val="auto"/>
        </w:rPr>
      </w:pPr>
    </w:p>
    <w:p>
      <w:pPr>
        <w:jc w:val="both"/>
        <w:ind w:left="1560" w:right="279" w:firstLine="5"/>
        <w:spacing w:after="0" w:line="296" w:lineRule="auto"/>
        <w:tabs>
          <w:tab w:leader="none" w:pos="2234" w:val="left"/>
        </w:tabs>
        <w:numPr>
          <w:ilvl w:val="1"/>
          <w:numId w:val="3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reportour conclusions about the effectiveness of the disclosure controls and procedures, as of the end</w:t>
      </w:r>
    </w:p>
    <w:p>
      <w:pPr>
        <w:ind w:left="2200"/>
        <w:spacing w:after="0"/>
        <w:rPr>
          <w:rFonts w:ascii="Arial" w:cs="Arial" w:eastAsia="Arial" w:hAnsi="Arial"/>
          <w:sz w:val="14"/>
          <w:szCs w:val="14"/>
          <w:color w:val="auto"/>
        </w:rPr>
      </w:pPr>
      <w:r>
        <w:rPr>
          <w:rFonts w:ascii="Arial" w:cs="Arial" w:eastAsia="Arial" w:hAnsi="Arial"/>
          <w:sz w:val="17"/>
          <w:szCs w:val="17"/>
          <w:color w:val="auto"/>
        </w:rPr>
        <w:t>ofcoveredtheperiodbythis report based on such evaluation; and</w:t>
      </w:r>
    </w:p>
    <w:p>
      <w:pPr>
        <w:spacing w:after="0" w:line="121" w:lineRule="exact"/>
        <w:rPr>
          <w:rFonts w:ascii="Arial" w:cs="Arial" w:eastAsia="Arial" w:hAnsi="Arial"/>
          <w:sz w:val="14"/>
          <w:szCs w:val="14"/>
          <w:color w:val="auto"/>
        </w:rPr>
      </w:pPr>
    </w:p>
    <w:p>
      <w:pPr>
        <w:ind w:left="1560" w:right="279" w:firstLine="5"/>
        <w:spacing w:after="0" w:line="283" w:lineRule="auto"/>
        <w:tabs>
          <w:tab w:leader="none" w:pos="2232" w:val="left"/>
        </w:tabs>
        <w:numPr>
          <w:ilvl w:val="1"/>
          <w:numId w:val="3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occurredduring the registrant’s most recent fiscal quarter (the registrant’s fourth fiscal quarter in the case</w:t>
      </w:r>
    </w:p>
    <w:p>
      <w:pPr>
        <w:spacing w:after="0" w:line="1" w:lineRule="exact"/>
        <w:rPr>
          <w:rFonts w:ascii="Arial" w:cs="Arial" w:eastAsia="Arial" w:hAnsi="Arial"/>
          <w:sz w:val="15"/>
          <w:szCs w:val="15"/>
          <w:color w:val="auto"/>
        </w:rPr>
      </w:pPr>
    </w:p>
    <w:p>
      <w:pPr>
        <w:ind w:left="2200" w:right="419"/>
        <w:spacing w:after="0" w:line="244" w:lineRule="auto"/>
        <w:rPr>
          <w:rFonts w:ascii="Arial" w:cs="Arial" w:eastAsia="Arial" w:hAnsi="Arial"/>
          <w:sz w:val="15"/>
          <w:szCs w:val="15"/>
          <w:color w:val="auto"/>
        </w:rPr>
      </w:pPr>
      <w:r>
        <w:rPr>
          <w:rFonts w:ascii="Arial" w:cs="Arial" w:eastAsia="Arial" w:hAnsi="Arial"/>
          <w:sz w:val="17"/>
          <w:szCs w:val="17"/>
          <w:color w:val="auto"/>
        </w:rPr>
        <w:t>ofreport)anannualthathas materially affected, or is reasonably likely to materially affect, the registrant’s ovint</w:t>
      </w:r>
      <w:r>
        <w:rPr>
          <w:rFonts w:ascii="Arial" w:cs="Arial" w:eastAsia="Arial" w:hAnsi="Arial"/>
          <w:sz w:val="17"/>
          <w:szCs w:val="17"/>
          <w:b w:val="1"/>
          <w:bCs w:val="1"/>
          <w:color w:val="auto"/>
        </w:rPr>
        <w:t>er</w:t>
      </w:r>
      <w:r>
        <w:rPr>
          <w:rFonts w:ascii="Arial" w:cs="Arial" w:eastAsia="Arial" w:hAnsi="Arial"/>
          <w:sz w:val="17"/>
          <w:szCs w:val="17"/>
          <w:color w:val="auto"/>
        </w:rPr>
        <w:t>nalfinancialcontrolreporting; and</w:t>
      </w:r>
    </w:p>
    <w:p>
      <w:pPr>
        <w:spacing w:after="0" w:line="111" w:lineRule="exact"/>
        <w:rPr>
          <w:rFonts w:ascii="Arial" w:cs="Arial" w:eastAsia="Arial" w:hAnsi="Arial"/>
          <w:sz w:val="15"/>
          <w:szCs w:val="15"/>
          <w:color w:val="auto"/>
        </w:rPr>
      </w:pPr>
    </w:p>
    <w:p>
      <w:pPr>
        <w:ind w:left="1060" w:right="619" w:hanging="7"/>
        <w:spacing w:after="0" w:line="312" w:lineRule="auto"/>
        <w:tabs>
          <w:tab w:leader="none" w:pos="1593"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internalfinancialcontroloverreporting, to the registrant’s auditors and the audit committee of the registrant’s board of</w:t>
      </w:r>
    </w:p>
    <w:p>
      <w:pPr>
        <w:ind w:left="1560"/>
        <w:spacing w:after="0"/>
        <w:rPr>
          <w:rFonts w:ascii="Arial" w:cs="Arial" w:eastAsia="Arial" w:hAnsi="Arial"/>
          <w:sz w:val="14"/>
          <w:szCs w:val="14"/>
          <w:color w:val="auto"/>
        </w:rPr>
      </w:pPr>
      <w:r>
        <w:rPr>
          <w:rFonts w:ascii="Arial" w:cs="Arial" w:eastAsia="Arial" w:hAnsi="Arial"/>
          <w:sz w:val="17"/>
          <w:szCs w:val="17"/>
          <w:color w:val="auto"/>
        </w:rPr>
        <w:t>directorsperforming(orthepersonsequivalent functions):</w:t>
      </w:r>
    </w:p>
    <w:p>
      <w:pPr>
        <w:spacing w:after="0" w:line="185" w:lineRule="exact"/>
        <w:rPr>
          <w:rFonts w:ascii="Arial" w:cs="Arial" w:eastAsia="Arial" w:hAnsi="Arial"/>
          <w:sz w:val="14"/>
          <w:szCs w:val="14"/>
          <w:color w:val="auto"/>
        </w:rPr>
      </w:pPr>
    </w:p>
    <w:p>
      <w:pPr>
        <w:ind w:left="1560" w:right="619" w:firstLine="5"/>
        <w:spacing w:after="0" w:line="291" w:lineRule="auto"/>
        <w:tabs>
          <w:tab w:leader="none" w:pos="2232" w:val="left"/>
        </w:tabs>
        <w:numPr>
          <w:ilvl w:val="1"/>
          <w:numId w:val="3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overfinancial reporting which are reasonably likely to adversely affect the registrant’s ability to</w:t>
      </w:r>
    </w:p>
    <w:p>
      <w:pPr>
        <w:spacing w:after="0" w:line="1" w:lineRule="exact"/>
        <w:rPr>
          <w:rFonts w:ascii="Arial" w:cs="Arial" w:eastAsia="Arial" w:hAnsi="Arial"/>
          <w:sz w:val="15"/>
          <w:szCs w:val="15"/>
          <w:color w:val="auto"/>
        </w:rPr>
      </w:pPr>
    </w:p>
    <w:p>
      <w:pPr>
        <w:ind w:left="2200"/>
        <w:spacing w:after="0"/>
        <w:rPr>
          <w:rFonts w:ascii="Arial" w:cs="Arial" w:eastAsia="Arial" w:hAnsi="Arial"/>
          <w:sz w:val="15"/>
          <w:szCs w:val="15"/>
          <w:color w:val="auto"/>
        </w:rPr>
      </w:pPr>
      <w:r>
        <w:rPr>
          <w:rFonts w:ascii="Arial" w:cs="Arial" w:eastAsia="Arial" w:hAnsi="Arial"/>
          <w:sz w:val="17"/>
          <w:szCs w:val="17"/>
          <w:color w:val="auto"/>
        </w:rPr>
        <w:t>record,summarizeprocess,and report financial information; and</w:t>
      </w:r>
    </w:p>
    <w:p>
      <w:pPr>
        <w:spacing w:after="0" w:line="153" w:lineRule="exact"/>
        <w:rPr>
          <w:rFonts w:ascii="Arial" w:cs="Arial" w:eastAsia="Arial" w:hAnsi="Arial"/>
          <w:sz w:val="15"/>
          <w:szCs w:val="15"/>
          <w:color w:val="auto"/>
        </w:rPr>
      </w:pPr>
    </w:p>
    <w:p>
      <w:pPr>
        <w:ind w:left="1560" w:right="359" w:firstLine="5"/>
        <w:spacing w:after="0" w:line="287" w:lineRule="auto"/>
        <w:tabs>
          <w:tab w:leader="none" w:pos="223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significantinroleth registrant’s internal control over financial reporting.</w:t>
      </w:r>
    </w:p>
    <w:p>
      <w:pPr>
        <w:spacing w:after="0" w:line="35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Date: November 2, 2021</w:t>
      </w:r>
    </w:p>
    <w:p>
      <w:pPr>
        <w:spacing w:after="0" w:line="18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Benjamin R. Clouse</w:t>
      </w:r>
    </w:p>
    <w:p>
      <w:pPr>
        <w:ind w:left="6060"/>
        <w:spacing w:after="0" w:line="209" w:lineRule="auto"/>
        <w:rPr>
          <w:sz w:val="20"/>
          <w:szCs w:val="20"/>
          <w:color w:val="auto"/>
        </w:rPr>
      </w:pPr>
      <w:r>
        <w:rPr>
          <w:rFonts w:ascii="Arial" w:cs="Arial" w:eastAsia="Arial" w:hAnsi="Arial"/>
          <w:sz w:val="17"/>
          <w:szCs w:val="17"/>
          <w:color w:val="auto"/>
        </w:rPr>
        <w:t>Benjamin R. Clouse</w:t>
      </w:r>
    </w:p>
    <w:p>
      <w:pPr>
        <w:ind w:left="6060"/>
        <w:spacing w:after="0" w:line="197" w:lineRule="auto"/>
        <w:rPr>
          <w:sz w:val="20"/>
          <w:szCs w:val="20"/>
          <w:color w:val="auto"/>
        </w:rPr>
      </w:pPr>
      <w:r>
        <w:rPr>
          <w:rFonts w:ascii="Arial" w:cs="Arial" w:eastAsia="Arial" w:hAnsi="Arial"/>
          <w:sz w:val="17"/>
          <w:szCs w:val="17"/>
          <w:color w:val="auto"/>
        </w:rPr>
        <w:t>Chief Financial Officer</w:t>
      </w:r>
    </w:p>
    <w:p>
      <w:pPr>
        <w:ind w:left="60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9019"/>
          </w:cols>
          <w:pgMar w:left="1440" w:top="1015" w:right="1440" w:bottom="1440" w:gutter="0" w:footer="0" w:header="0"/>
        </w:sectPr>
      </w:pPr>
    </w:p>
    <w:bookmarkStart w:id="75" w:name="page76"/>
    <w:bookmarkEnd w:id="75"/>
    <w:p>
      <w:pPr>
        <w:ind w:left="5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99" w:lineRule="exact"/>
        <w:rPr>
          <w:sz w:val="20"/>
          <w:szCs w:val="20"/>
          <w:color w:val="auto"/>
        </w:rPr>
      </w:pPr>
    </w:p>
    <w:p>
      <w:pPr>
        <w:ind w:left="540" w:right="759"/>
        <w:spacing w:after="0" w:line="266" w:lineRule="auto"/>
        <w:rPr>
          <w:sz w:val="20"/>
          <w:szCs w:val="20"/>
          <w:color w:val="auto"/>
        </w:rPr>
      </w:pPr>
      <w:r>
        <w:rPr>
          <w:rFonts w:ascii="Arial" w:cs="Arial" w:eastAsia="Arial" w:hAnsi="Arial"/>
          <w:sz w:val="17"/>
          <w:szCs w:val="17"/>
          <w:b w:val="1"/>
          <w:bCs w:val="1"/>
          <w:color w:val="auto"/>
        </w:rPr>
        <w:t>CERTIFICATION OF PRINCIPAL EXECUTIVE OFFICER AND PRINCIPAL FINANCIAL OFFICER UNDER1350FURNISHED18..C.§PURSUANT TO SECURITIES EXCHANGE ACT RULE 13a-14(b)</w:t>
      </w:r>
    </w:p>
    <w:p>
      <w:pPr>
        <w:spacing w:after="0" w:line="136" w:lineRule="exact"/>
        <w:rPr>
          <w:sz w:val="20"/>
          <w:szCs w:val="20"/>
          <w:color w:val="auto"/>
        </w:rPr>
      </w:pPr>
    </w:p>
    <w:p>
      <w:pPr>
        <w:ind w:left="540" w:right="299"/>
        <w:spacing w:after="0" w:line="285" w:lineRule="auto"/>
        <w:rPr>
          <w:sz w:val="20"/>
          <w:szCs w:val="20"/>
          <w:color w:val="auto"/>
        </w:rPr>
      </w:pPr>
      <w:r>
        <w:rPr>
          <w:rFonts w:ascii="Arial" w:cs="Arial" w:eastAsia="Arial" w:hAnsi="Arial"/>
          <w:sz w:val="15"/>
          <w:szCs w:val="15"/>
          <w:color w:val="auto"/>
        </w:rPr>
        <w:t>In connection with the Quarterly Report of CrossFirst Bankshares, Inc. (the “Company”) on Form 10-Q for the period 30,ended2021,on Septemberasfiledwith the Securities and Exchange Commission on the date hereof (the “Report”), each of the undersigned,respectivecapacitiesinhis indicated below, hereby certifies, pursuant to 18 U.S.C. § 1350, as enacted by Section 906 of the ofSarbanes2002,that,-Oxleyto hisActknowledge and belief, (1) the Report fully complies with the requirements of Section 13(a) or 15(d) ExchangeoftheSecuritiesActof 1934, as amended, and (2) the information contained in the Report fairly presents, in all material respects,conditiontheandfinancialresultsof operations of the Company.</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Date: November 2, 2021</w:t>
      </w:r>
    </w:p>
    <w:p>
      <w:pPr>
        <w:spacing w:after="0" w:line="18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/s/ Michael J. Maddox</w:t>
      </w:r>
    </w:p>
    <w:p>
      <w:pPr>
        <w:ind w:left="3120"/>
        <w:spacing w:after="0" w:line="222" w:lineRule="auto"/>
        <w:rPr>
          <w:sz w:val="20"/>
          <w:szCs w:val="20"/>
          <w:color w:val="auto"/>
        </w:rPr>
      </w:pPr>
      <w:r>
        <w:rPr>
          <w:rFonts w:ascii="Arial" w:cs="Arial" w:eastAsia="Arial" w:hAnsi="Arial"/>
          <w:sz w:val="17"/>
          <w:szCs w:val="17"/>
          <w:color w:val="auto"/>
        </w:rPr>
        <w:t>Michael J. Maddox</w:t>
      </w:r>
    </w:p>
    <w:p>
      <w:pPr>
        <w:ind w:left="3120"/>
        <w:spacing w:after="0"/>
        <w:rPr>
          <w:sz w:val="20"/>
          <w:szCs w:val="20"/>
          <w:color w:val="auto"/>
        </w:rPr>
      </w:pPr>
      <w:r>
        <w:rPr>
          <w:rFonts w:ascii="Arial" w:cs="Arial" w:eastAsia="Arial" w:hAnsi="Arial"/>
          <w:sz w:val="17"/>
          <w:szCs w:val="17"/>
          <w:color w:val="auto"/>
        </w:rPr>
        <w:t>President and Chief Executive Officer (Principal Executive Officer)</w:t>
      </w:r>
    </w:p>
    <w:p>
      <w:pPr>
        <w:spacing w:after="0" w:line="23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/s/ Benjamin R. Clouse</w:t>
      </w:r>
    </w:p>
    <w:p>
      <w:pPr>
        <w:ind w:left="3120"/>
        <w:spacing w:after="0" w:line="209" w:lineRule="auto"/>
        <w:rPr>
          <w:sz w:val="20"/>
          <w:szCs w:val="20"/>
          <w:color w:val="auto"/>
        </w:rPr>
      </w:pPr>
      <w:r>
        <w:rPr>
          <w:rFonts w:ascii="Arial" w:cs="Arial" w:eastAsia="Arial" w:hAnsi="Arial"/>
          <w:sz w:val="17"/>
          <w:szCs w:val="17"/>
          <w:color w:val="auto"/>
        </w:rPr>
        <w:t>Benjamin R. Clouse</w:t>
      </w:r>
    </w:p>
    <w:p>
      <w:pPr>
        <w:ind w:left="3120"/>
        <w:spacing w:after="0" w:line="196" w:lineRule="auto"/>
        <w:rPr>
          <w:sz w:val="20"/>
          <w:szCs w:val="20"/>
          <w:color w:val="auto"/>
        </w:rPr>
      </w:pPr>
      <w:r>
        <w:rPr>
          <w:rFonts w:ascii="Arial" w:cs="Arial" w:eastAsia="Arial" w:hAnsi="Arial"/>
          <w:sz w:val="17"/>
          <w:szCs w:val="17"/>
          <w:color w:val="auto"/>
        </w:rPr>
        <w:t>Chief Financial Officer (Principal Financial Officer and</w:t>
      </w:r>
    </w:p>
    <w:p>
      <w:pPr>
        <w:spacing w:after="0" w:line="1"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Principal Accounting Officer)</w:t>
      </w:r>
    </w:p>
    <w:p>
      <w:pPr>
        <w:sectPr>
          <w:pgSz w:w="11900" w:h="16838" w:orient="portrait"/>
          <w:cols w:equalWidth="0" w:num="1">
            <w:col w:w="9019"/>
          </w:cols>
          <w:pgMar w:left="1440" w:top="1015" w:right="1440"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upperLetter"/>
      <w:start w:val="68"/>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lvl w:ilvl="1">
      <w:lvlJc w:val="left"/>
      <w:lvlText w:val="(%2)"/>
      <w:numFmt w:val="lowerLetter"/>
      <w:start w:val="1"/>
    </w:lvl>
  </w:abstractNum>
  <w:abstractNum w:abstractNumId="23">
    <w:nsid w:val="737B8DDC"/>
    <w:multiLevelType w:val="hybridMultilevel"/>
    <w:lvl w:ilvl="0">
      <w:lvlJc w:val="left"/>
      <w:lvlText w:val="%1."/>
      <w:numFmt w:val="decimal"/>
      <w:start w:val="2"/>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decimal"/>
      <w:start w:val="3"/>
    </w:lvl>
    <w:lvl w:ilvl="1">
      <w:lvlJc w:val="left"/>
      <w:lvlText w:val="(%2)"/>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lvl w:ilvl="1">
      <w:lvlJc w:val="left"/>
      <w:lvlText w:val="(%2)"/>
      <w:numFmt w:val="lowerRoman"/>
      <w:start w:val="1"/>
    </w:lvl>
  </w:abstractNum>
  <w:abstractNum w:abstractNumId="31">
    <w:nsid w:val="440BADFC"/>
    <w:multiLevelType w:val="hybridMultilevel"/>
    <w:lvl w:ilvl="0">
      <w:lvlJc w:val="left"/>
      <w:lvlText w:val="(%1)"/>
      <w:numFmt w:val="lowerRoman"/>
      <w:start w:val="3"/>
    </w:lvl>
  </w:abstractNum>
  <w:abstractNum w:abstractNumId="32">
    <w:nsid w:val="5072367"/>
    <w:multiLevelType w:val="hybridMultilevel"/>
    <w:lvl w:ilvl="0">
      <w:lvlJc w:val="left"/>
      <w:lvlText w:val="(%1)"/>
      <w:numFmt w:val="lowerRoman"/>
      <w:start w:val="4"/>
    </w:lvl>
  </w:abstractNum>
  <w:abstractNum w:abstractNumId="33">
    <w:nsid w:val="3804823E"/>
    <w:multiLevelType w:val="hybridMultilevel"/>
    <w:lvl w:ilvl="0">
      <w:lvlJc w:val="left"/>
      <w:lvlText w:val="(%1)"/>
      <w:numFmt w:val="lowerLetter"/>
      <w:start w:val="2"/>
    </w:lvl>
  </w:abstractNum>
  <w:abstractNum w:abstractNumId="34">
    <w:nsid w:val="77465F01"/>
    <w:multiLevelType w:val="hybridMultilevel"/>
    <w:lvl w:ilvl="0">
      <w:lvlJc w:val="left"/>
      <w:lvlText w:val="%1."/>
      <w:numFmt w:val="decimal"/>
      <w:start w:val="4"/>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Letter"/>
      <w:start w:val="2"/>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59" Type="http://schemas.openxmlformats.org/officeDocument/2006/relationships/hyperlink" Target="http://www.sec.gov/Archives/edgar/data/1458412/000145841221000045/cfb-20210630.htm#i4aebc3b5a2524a7e8683df09ddc1bd82_127" TargetMode="External"/><Relationship Id="rId73" Type="http://schemas.openxmlformats.org/officeDocument/2006/relationships/hyperlink" Target="http://www.sec.gov/Archives/edgar/data/1458412/000114036119013110/s002626x8_ex3-1.htm" TargetMode="External"/><Relationship Id="rId74" Type="http://schemas.openxmlformats.org/officeDocument/2006/relationships/hyperlink" Target="http://www.sec.gov/Archives/edgar/data/1458412/000114036119013110/s002626x8_ex3-2.htm" TargetMode="External"/><Relationship Id="rId75" Type="http://schemas.openxmlformats.org/officeDocument/2006/relationships/hyperlink" Target="http://www.sec.gov/Archives/edgar/data/1458412/000114036119013110/s002626x8_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2021-11-02T15:34:29Z</dcterms:created>
  <dcterms:modified xsi:type="dcterms:W3CDTF">2021-11-02T15:34:29Z</dcterms:modified>
</cp:coreProperties>
</file>