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37" w:lineRule="exact"/>
        <w:rPr>
          <w:sz w:val="24"/>
          <w:szCs w:val="24"/>
          <w:color w:val="auto"/>
        </w:rPr>
      </w:pPr>
    </w:p>
    <w:p>
      <w:pPr>
        <w:jc w:val="center"/>
        <w:ind w:left="1540" w:right="10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001-39028</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CROSSFIRST BANKSHARES,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First Busey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11440 Tomahawk Creek Parkway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Leawood, Kansas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(217) 365-4544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0139"/>
          </w:cols>
          <w:pgMar w:left="320" w:top="700" w:right="1440" w:bottom="1440" w:gutter="0" w:footer="0" w:header="0"/>
        </w:sectPr>
      </w:pPr>
    </w:p>
    <w:p>
      <w:pPr>
        <w:spacing w:after="0" w:line="225"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3700" w:space="580"/>
            <w:col w:w="5859"/>
          </w:cols>
          <w:pgMar w:left="320" w:top="700"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type w:val="continuous"/>
        </w:sectPr>
      </w:pPr>
    </w:p>
    <w:bookmarkStart w:id="1" w:name="page2"/>
    <w:bookmarkEnd w:id="1"/>
    <w:p>
      <w:pPr>
        <w:ind w:right="1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First Busey Corporation, as successor by merger to CrossFirst Bankshares, Inc., has caused this certification/notice to be signed on its behalf by the undersigned duly authorized person.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FIRST BUSEY CORPORATION</w:t>
            </w:r>
          </w:p>
        </w:tc>
      </w:t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As successor by merger to CROSSFIRST BANKSHARES, INC.</w:t>
            </w:r>
          </w:p>
        </w:tc>
      </w:tr>
      <w:tr>
        <w:trPr>
          <w:trHeight w:val="4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2025</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Scott A. Phillips</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Scott A. Phillips</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Interim Chief Financial Officer, Executive Vice President and</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2025-03-13T07:35:13Z</dcterms:created>
  <dcterms:modified xsi:type="dcterms:W3CDTF">2025-03-13T07:35:13Z</dcterms:modified>
</cp:coreProperties>
</file>